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7340" w14:textId="1FCC8ADA" w:rsidR="00B83A6B" w:rsidRPr="005F15D8" w:rsidRDefault="005F15D8" w:rsidP="0091556D">
      <w:pPr>
        <w:spacing w:after="0" w:line="360" w:lineRule="auto"/>
        <w:rPr>
          <w:rFonts w:ascii="Arial" w:hAnsi="Arial" w:cs="Arial"/>
          <w:b/>
          <w:caps/>
          <w:sz w:val="52"/>
        </w:rPr>
      </w:pPr>
      <w:r w:rsidRPr="005F15D8">
        <w:rPr>
          <w:rFonts w:ascii="Arial" w:hAnsi="Arial" w:cs="Arial"/>
          <w:b/>
          <w:caps/>
          <w:sz w:val="52"/>
        </w:rPr>
        <w:t>Nationaler Bericht über die Finanzbildung in Österreich</w:t>
      </w:r>
    </w:p>
    <w:p w14:paraId="5E2939A9" w14:textId="77777777" w:rsidR="000266CD" w:rsidRPr="005F15D8" w:rsidRDefault="000266CD" w:rsidP="0091556D">
      <w:pPr>
        <w:spacing w:after="0" w:line="360" w:lineRule="auto"/>
        <w:rPr>
          <w:rFonts w:ascii="Arial" w:hAnsi="Arial" w:cs="Arial"/>
        </w:rPr>
      </w:pPr>
    </w:p>
    <w:p w14:paraId="6E95F94F" w14:textId="53A7C558" w:rsidR="00907D0E" w:rsidRPr="00907D0E" w:rsidRDefault="00907D0E" w:rsidP="00907D0E">
      <w:pPr>
        <w:spacing w:after="0" w:line="360" w:lineRule="auto"/>
        <w:rPr>
          <w:rFonts w:ascii="Arial" w:hAnsi="Arial" w:cs="Arial"/>
          <w:b/>
          <w:color w:val="4F6228" w:themeColor="accent3" w:themeShade="80"/>
          <w:sz w:val="32"/>
          <w:lang w:val="en-GB"/>
        </w:rPr>
      </w:pPr>
      <w:r w:rsidRPr="00907D0E">
        <w:rPr>
          <w:rFonts w:ascii="Arial" w:hAnsi="Arial" w:cs="Arial"/>
          <w:b/>
          <w:color w:val="4F6228" w:themeColor="accent3" w:themeShade="80"/>
          <w:sz w:val="32"/>
          <w:lang w:val="en-GB"/>
        </w:rPr>
        <w:t xml:space="preserve">Outcome </w:t>
      </w:r>
      <w:r w:rsidR="005F15D8">
        <w:rPr>
          <w:rFonts w:ascii="Arial" w:hAnsi="Arial" w:cs="Arial"/>
          <w:b/>
          <w:color w:val="4F6228" w:themeColor="accent3" w:themeShade="80"/>
          <w:sz w:val="32"/>
          <w:lang w:val="en-GB"/>
        </w:rPr>
        <w:t>Arbeitspaket</w:t>
      </w:r>
      <w:r w:rsidRPr="00907D0E">
        <w:rPr>
          <w:rFonts w:ascii="Arial" w:hAnsi="Arial" w:cs="Arial"/>
          <w:b/>
          <w:color w:val="4F6228" w:themeColor="accent3" w:themeShade="80"/>
          <w:sz w:val="32"/>
          <w:lang w:val="en-GB"/>
        </w:rPr>
        <w:t xml:space="preserve"> 3 – Needs and Gap Analysis</w:t>
      </w:r>
    </w:p>
    <w:p w14:paraId="0A8A41A4" w14:textId="77777777" w:rsidR="0054095C" w:rsidRPr="00907D0E" w:rsidRDefault="0054095C" w:rsidP="0091556D">
      <w:pPr>
        <w:spacing w:after="0" w:line="360" w:lineRule="auto"/>
        <w:rPr>
          <w:rFonts w:ascii="Arial" w:hAnsi="Arial" w:cs="Arial"/>
          <w:lang w:val="en-GB"/>
        </w:rPr>
      </w:pPr>
    </w:p>
    <w:p w14:paraId="7504E074" w14:textId="77777777" w:rsidR="00907D0E" w:rsidRDefault="00907D0E" w:rsidP="0091556D">
      <w:pPr>
        <w:spacing w:after="0" w:line="360" w:lineRule="auto"/>
        <w:rPr>
          <w:rFonts w:ascii="Arial" w:hAnsi="Arial" w:cs="Arial"/>
          <w:lang w:val="en-GB"/>
        </w:rPr>
      </w:pPr>
    </w:p>
    <w:p w14:paraId="5723C4F7" w14:textId="77777777" w:rsidR="0054095C" w:rsidRPr="00907D0E" w:rsidRDefault="0054095C" w:rsidP="0091556D">
      <w:pPr>
        <w:spacing w:after="0" w:line="360" w:lineRule="auto"/>
        <w:rPr>
          <w:rFonts w:ascii="Arial" w:hAnsi="Arial" w:cs="Arial"/>
          <w:lang w:val="en-GB"/>
        </w:rPr>
      </w:pPr>
    </w:p>
    <w:p w14:paraId="12481744" w14:textId="0F848B43" w:rsidR="0054095C" w:rsidRPr="005F15D8" w:rsidRDefault="005F15D8" w:rsidP="0091556D">
      <w:pPr>
        <w:spacing w:after="0" w:line="360" w:lineRule="auto"/>
        <w:rPr>
          <w:rFonts w:ascii="Arial" w:hAnsi="Arial" w:cs="Arial"/>
          <w:sz w:val="24"/>
        </w:rPr>
      </w:pPr>
      <w:r w:rsidRPr="005F15D8">
        <w:rPr>
          <w:rFonts w:ascii="Arial" w:hAnsi="Arial" w:cs="Arial"/>
          <w:sz w:val="24"/>
        </w:rPr>
        <w:t>Eingereicht von:</w:t>
      </w:r>
      <w:r w:rsidRPr="005F15D8">
        <w:rPr>
          <w:rFonts w:ascii="Arial" w:hAnsi="Arial" w:cs="Arial"/>
          <w:b/>
          <w:sz w:val="24"/>
        </w:rPr>
        <w:t xml:space="preserve"> </w:t>
      </w:r>
      <w:r w:rsidR="00F326BD" w:rsidRPr="005F15D8">
        <w:rPr>
          <w:rFonts w:ascii="Arial" w:hAnsi="Arial" w:cs="Arial"/>
          <w:b/>
          <w:sz w:val="24"/>
        </w:rPr>
        <w:t>FH Joanneum</w:t>
      </w:r>
    </w:p>
    <w:p w14:paraId="72B155E1" w14:textId="5FF24787" w:rsidR="00907D0E" w:rsidRPr="005F15D8" w:rsidRDefault="005F15D8" w:rsidP="0091556D">
      <w:pPr>
        <w:spacing w:after="0" w:line="360" w:lineRule="auto"/>
        <w:rPr>
          <w:rFonts w:ascii="Arial" w:hAnsi="Arial" w:cs="Arial"/>
          <w:sz w:val="24"/>
        </w:rPr>
      </w:pPr>
      <w:r w:rsidRPr="005F15D8">
        <w:rPr>
          <w:rFonts w:ascii="Arial" w:hAnsi="Arial" w:cs="Arial"/>
          <w:sz w:val="24"/>
        </w:rPr>
        <w:t>Land</w:t>
      </w:r>
      <w:r w:rsidR="00907D0E" w:rsidRPr="005F15D8">
        <w:rPr>
          <w:rFonts w:ascii="Arial" w:hAnsi="Arial" w:cs="Arial"/>
          <w:sz w:val="24"/>
        </w:rPr>
        <w:t xml:space="preserve">: </w:t>
      </w:r>
      <w:r w:rsidR="00105B3E">
        <w:rPr>
          <w:rFonts w:ascii="Arial" w:hAnsi="Arial" w:cs="Arial"/>
          <w:b/>
          <w:sz w:val="24"/>
        </w:rPr>
        <w:t xml:space="preserve">Österreich </w:t>
      </w:r>
    </w:p>
    <w:p w14:paraId="18389233" w14:textId="669AD165" w:rsidR="00907D0E" w:rsidRDefault="00F326BD" w:rsidP="0091556D">
      <w:pPr>
        <w:spacing w:after="0" w:line="360" w:lineRule="auto"/>
        <w:rPr>
          <w:rFonts w:ascii="Arial" w:hAnsi="Arial" w:cs="Arial"/>
          <w:sz w:val="24"/>
          <w:lang w:val="en-GB"/>
        </w:rPr>
      </w:pPr>
      <w:r w:rsidRPr="00F326BD">
        <w:rPr>
          <w:rFonts w:ascii="Arial" w:hAnsi="Arial" w:cs="Arial"/>
          <w:noProof/>
          <w:sz w:val="24"/>
          <w:lang w:eastAsia="de-AT"/>
        </w:rPr>
        <w:drawing>
          <wp:anchor distT="0" distB="0" distL="114300" distR="114300" simplePos="0" relativeHeight="251664384" behindDoc="0" locked="0" layoutInCell="1" allowOverlap="1" wp14:anchorId="6126B44D" wp14:editId="24DFE9AE">
            <wp:simplePos x="0" y="0"/>
            <wp:positionH relativeFrom="column">
              <wp:posOffset>3342640</wp:posOffset>
            </wp:positionH>
            <wp:positionV relativeFrom="paragraph">
              <wp:posOffset>2600325</wp:posOffset>
            </wp:positionV>
            <wp:extent cx="2611120" cy="168719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education logo V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1120" cy="1687195"/>
                    </a:xfrm>
                    <a:prstGeom prst="rect">
                      <a:avLst/>
                    </a:prstGeom>
                  </pic:spPr>
                </pic:pic>
              </a:graphicData>
            </a:graphic>
          </wp:anchor>
        </w:drawing>
      </w:r>
      <w:r w:rsidRPr="00F326BD">
        <w:rPr>
          <w:rFonts w:ascii="Arial" w:hAnsi="Arial" w:cs="Arial"/>
          <w:noProof/>
          <w:sz w:val="24"/>
          <w:lang w:eastAsia="de-AT"/>
        </w:rPr>
        <w:drawing>
          <wp:anchor distT="0" distB="0" distL="114300" distR="114300" simplePos="0" relativeHeight="251665408" behindDoc="0" locked="0" layoutInCell="1" allowOverlap="1" wp14:anchorId="3D148DC8" wp14:editId="588FF5C4">
            <wp:simplePos x="0" y="0"/>
            <wp:positionH relativeFrom="column">
              <wp:posOffset>-168275</wp:posOffset>
            </wp:positionH>
            <wp:positionV relativeFrom="paragraph">
              <wp:posOffset>3150870</wp:posOffset>
            </wp:positionV>
            <wp:extent cx="3169920" cy="1322705"/>
            <wp:effectExtent l="0" t="0" r="0" b="0"/>
            <wp:wrapNone/>
            <wp:docPr id="20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 name="Grafik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9920" cy="1322705"/>
                    </a:xfrm>
                    <a:prstGeom prst="rect">
                      <a:avLst/>
                    </a:prstGeom>
                    <a:noFill/>
                    <a:ln>
                      <a:noFill/>
                    </a:ln>
                    <a:extLst/>
                  </pic:spPr>
                </pic:pic>
              </a:graphicData>
            </a:graphic>
          </wp:anchor>
        </w:drawing>
      </w:r>
      <w:r w:rsidR="005F15D8">
        <w:rPr>
          <w:rFonts w:ascii="Arial" w:hAnsi="Arial" w:cs="Arial"/>
          <w:noProof/>
          <w:sz w:val="24"/>
          <w:lang w:eastAsia="de-AT"/>
        </w:rPr>
        <mc:AlternateContent>
          <mc:Choice Requires="wps">
            <w:drawing>
              <wp:anchor distT="0" distB="0" distL="114300" distR="114300" simplePos="0" relativeHeight="251666432" behindDoc="0" locked="0" layoutInCell="1" allowOverlap="1" wp14:anchorId="25D43E51" wp14:editId="71410647">
                <wp:simplePos x="0" y="0"/>
                <wp:positionH relativeFrom="column">
                  <wp:posOffset>-84455</wp:posOffset>
                </wp:positionH>
                <wp:positionV relativeFrom="paragraph">
                  <wp:posOffset>4594225</wp:posOffset>
                </wp:positionV>
                <wp:extent cx="6057900" cy="38862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8620"/>
                        </a:xfrm>
                        <a:prstGeom prst="rect">
                          <a:avLst/>
                        </a:prstGeom>
                        <a:noFill/>
                        <a:ln w="9525">
                          <a:noFill/>
                          <a:miter lim="800000"/>
                          <a:headEnd/>
                          <a:tailEnd/>
                        </a:ln>
                      </wps:spPr>
                      <wps:txbx>
                        <w:txbxContent>
                          <w:p w14:paraId="4DA20E92" w14:textId="77777777" w:rsidR="00F326BD" w:rsidRPr="003815CF" w:rsidRDefault="00F326BD" w:rsidP="00F326BD">
                            <w:pPr>
                              <w:spacing w:after="0" w:line="240" w:lineRule="auto"/>
                              <w:jc w:val="center"/>
                              <w:rPr>
                                <w:rFonts w:ascii="Arial" w:hAnsi="Arial" w:cs="Arial"/>
                                <w:spacing w:val="40"/>
                                <w:sz w:val="18"/>
                                <w:lang w:val="en-US"/>
                              </w:rPr>
                            </w:pPr>
                            <w:proofErr w:type="gramStart"/>
                            <w:r w:rsidRPr="003815CF">
                              <w:rPr>
                                <w:rFonts w:ascii="Arial" w:hAnsi="Arial" w:cs="Arial"/>
                                <w:spacing w:val="40"/>
                                <w:sz w:val="18"/>
                                <w:lang w:val="en-US"/>
                              </w:rPr>
                              <w:t>With the support of the Lifelong Learning Programme of the European Union.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65pt;margin-top:361.75pt;width:477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" filled="f" stroked="f">
                <v:textbox>
                  <w:txbxContent>
                    <w:p w14:paraId="4DA20E92" w14:textId="77777777" w:rsidR="00F326BD" w:rsidRPr="003815CF" w:rsidRDefault="00F326BD" w:rsidP="00F326BD">
                      <w:pPr>
                        <w:spacing w:after="0" w:line="240" w:lineRule="auto"/>
                        <w:jc w:val="center"/>
                        <w:rPr>
                          <w:rFonts w:ascii="Arial" w:hAnsi="Arial" w:cs="Arial"/>
                          <w:spacing w:val="40"/>
                          <w:sz w:val="18"/>
                          <w:lang w:val="en-US"/>
                        </w:rPr>
                      </w:pPr>
                      <w:proofErr w:type="gramStart"/>
                      <w:r w:rsidRPr="003815CF">
                        <w:rPr>
                          <w:rFonts w:ascii="Arial" w:hAnsi="Arial" w:cs="Arial"/>
                          <w:spacing w:val="40"/>
                          <w:sz w:val="18"/>
                          <w:lang w:val="en-US"/>
                        </w:rPr>
                        <w:t>With the support of the Lifelong Learning Programme of the European Union.</w:t>
                      </w:r>
                      <w:proofErr w:type="gramEnd"/>
                    </w:p>
                  </w:txbxContent>
                </v:textbox>
              </v:shape>
            </w:pict>
          </mc:Fallback>
        </mc:AlternateContent>
      </w:r>
      <w:r w:rsidR="005F15D8">
        <w:rPr>
          <w:rFonts w:ascii="Arial" w:hAnsi="Arial" w:cs="Arial"/>
          <w:sz w:val="24"/>
          <w:lang w:val="en-GB"/>
        </w:rPr>
        <w:t>November 2013</w:t>
      </w:r>
    </w:p>
    <w:p w14:paraId="4D4D72F0" w14:textId="77777777" w:rsidR="00363BE8" w:rsidRDefault="00363BE8" w:rsidP="0091556D">
      <w:pPr>
        <w:spacing w:after="0" w:line="360" w:lineRule="auto"/>
        <w:rPr>
          <w:rFonts w:ascii="Arial" w:hAnsi="Arial" w:cs="Arial"/>
          <w:sz w:val="24"/>
          <w:lang w:val="en-GB"/>
        </w:rPr>
      </w:pPr>
    </w:p>
    <w:p w14:paraId="2F3F34CF" w14:textId="77777777" w:rsidR="00363BE8" w:rsidRDefault="00363BE8" w:rsidP="0091556D">
      <w:pPr>
        <w:spacing w:after="0" w:line="360" w:lineRule="auto"/>
        <w:rPr>
          <w:rFonts w:ascii="Arial" w:hAnsi="Arial" w:cs="Arial"/>
          <w:sz w:val="24"/>
          <w:lang w:val="en-GB"/>
        </w:rPr>
      </w:pPr>
    </w:p>
    <w:p w14:paraId="26D9B7F3" w14:textId="77777777" w:rsidR="00363BE8" w:rsidRDefault="00363BE8" w:rsidP="0091556D">
      <w:pPr>
        <w:spacing w:after="0" w:line="360" w:lineRule="auto"/>
        <w:rPr>
          <w:rFonts w:ascii="Arial" w:hAnsi="Arial" w:cs="Arial"/>
          <w:sz w:val="24"/>
          <w:lang w:val="en-GB"/>
        </w:rPr>
      </w:pPr>
    </w:p>
    <w:p w14:paraId="0972BB73" w14:textId="77777777" w:rsidR="00363BE8" w:rsidRDefault="00363BE8" w:rsidP="0091556D">
      <w:pPr>
        <w:spacing w:after="0" w:line="360" w:lineRule="auto"/>
        <w:rPr>
          <w:rFonts w:ascii="Arial" w:hAnsi="Arial" w:cs="Arial"/>
          <w:sz w:val="24"/>
          <w:lang w:val="en-GB"/>
        </w:rPr>
      </w:pPr>
    </w:p>
    <w:p w14:paraId="118DD9E9" w14:textId="77777777" w:rsidR="00363BE8" w:rsidRDefault="00363BE8" w:rsidP="0091556D">
      <w:pPr>
        <w:spacing w:after="0" w:line="360" w:lineRule="auto"/>
        <w:rPr>
          <w:rFonts w:ascii="Arial" w:hAnsi="Arial" w:cs="Arial"/>
          <w:sz w:val="24"/>
          <w:lang w:val="en-GB"/>
        </w:rPr>
      </w:pPr>
    </w:p>
    <w:p w14:paraId="6CAEE93F" w14:textId="77777777" w:rsidR="00105B3E" w:rsidRPr="00907D0E" w:rsidRDefault="00105B3E" w:rsidP="0091556D">
      <w:pPr>
        <w:spacing w:after="0" w:line="360" w:lineRule="auto"/>
        <w:rPr>
          <w:rFonts w:ascii="Arial" w:hAnsi="Arial" w:cs="Arial"/>
          <w:sz w:val="24"/>
          <w:lang w:val="en-GB"/>
        </w:rPr>
        <w:sectPr w:rsidR="00105B3E" w:rsidRPr="00907D0E" w:rsidSect="002A37A3">
          <w:footerReference w:type="even" r:id="rId11"/>
          <w:footerReference w:type="default" r:id="rId12"/>
          <w:pgSz w:w="11906" w:h="16838"/>
          <w:pgMar w:top="1417" w:right="1417" w:bottom="1134" w:left="1417" w:header="708" w:footer="708" w:gutter="0"/>
          <w:cols w:space="708"/>
          <w:titlePg/>
          <w:docGrid w:linePitch="360"/>
        </w:sectPr>
      </w:pPr>
    </w:p>
    <w:p w14:paraId="09ED7CCA" w14:textId="77777777" w:rsidR="0054095C" w:rsidRPr="00053747" w:rsidRDefault="00053747" w:rsidP="0091556D">
      <w:pPr>
        <w:spacing w:after="0" w:line="360" w:lineRule="auto"/>
        <w:rPr>
          <w:rFonts w:ascii="Arial" w:hAnsi="Arial" w:cs="Arial"/>
          <w:b/>
          <w:caps/>
          <w:sz w:val="40"/>
          <w:lang w:val="en-GB"/>
        </w:rPr>
      </w:pPr>
      <w:r>
        <w:rPr>
          <w:rFonts w:ascii="Arial" w:hAnsi="Arial" w:cs="Arial"/>
          <w:b/>
          <w:caps/>
          <w:sz w:val="40"/>
          <w:lang w:val="en-GB"/>
        </w:rPr>
        <w:lastRenderedPageBreak/>
        <w:t>Table of Contents</w:t>
      </w:r>
    </w:p>
    <w:sdt>
      <w:sdtPr>
        <w:rPr>
          <w:rFonts w:asciiTheme="minorHAnsi" w:eastAsiaTheme="minorHAnsi" w:hAnsiTheme="minorHAnsi" w:cstheme="minorBidi"/>
          <w:b w:val="0"/>
          <w:bCs w:val="0"/>
          <w:color w:val="auto"/>
          <w:sz w:val="22"/>
          <w:szCs w:val="22"/>
          <w:lang w:val="de-DE" w:eastAsia="en-US"/>
        </w:rPr>
        <w:id w:val="1337655821"/>
        <w:docPartObj>
          <w:docPartGallery w:val="Table of Contents"/>
          <w:docPartUnique/>
        </w:docPartObj>
      </w:sdtPr>
      <w:sdtEndPr>
        <w:rPr>
          <w:rStyle w:val="Hyperlink"/>
          <w:rFonts w:ascii="Arial" w:hAnsi="Arial" w:cs="Arial"/>
          <w:noProof/>
          <w:u w:val="single"/>
          <w:lang w:val="en-US"/>
        </w:rPr>
      </w:sdtEndPr>
      <w:sdtContent>
        <w:p w14:paraId="76D90D3F" w14:textId="77777777" w:rsidR="001B784C" w:rsidRPr="001B784C" w:rsidRDefault="001B784C">
          <w:pPr>
            <w:pStyle w:val="Inhaltsverzeichnisberschrift"/>
            <w:rPr>
              <w:color w:val="auto"/>
            </w:rPr>
          </w:pPr>
        </w:p>
        <w:p w14:paraId="12DCF807" w14:textId="77777777" w:rsidR="00F35B2A" w:rsidRPr="00F35B2A" w:rsidRDefault="00A86278">
          <w:pPr>
            <w:pStyle w:val="Verzeichnis1"/>
            <w:tabs>
              <w:tab w:val="left" w:pos="440"/>
              <w:tab w:val="right" w:leader="dot" w:pos="9062"/>
            </w:tabs>
            <w:rPr>
              <w:rFonts w:eastAsiaTheme="minorEastAsia" w:cstheme="minorHAnsi"/>
              <w:noProof/>
              <w:sz w:val="24"/>
              <w:szCs w:val="24"/>
              <w:lang w:eastAsia="de-AT"/>
            </w:rPr>
          </w:pPr>
          <w:r w:rsidRPr="00F35B2A">
            <w:rPr>
              <w:rFonts w:cstheme="minorHAnsi"/>
              <w:sz w:val="24"/>
              <w:szCs w:val="24"/>
            </w:rPr>
            <w:fldChar w:fldCharType="begin"/>
          </w:r>
          <w:r w:rsidR="001B784C" w:rsidRPr="00F35B2A">
            <w:rPr>
              <w:rFonts w:cstheme="minorHAnsi"/>
              <w:sz w:val="24"/>
              <w:szCs w:val="24"/>
            </w:rPr>
            <w:instrText xml:space="preserve"> TOC \o "1-3" \h \z \u </w:instrText>
          </w:r>
          <w:r w:rsidRPr="00F35B2A">
            <w:rPr>
              <w:rFonts w:cstheme="minorHAnsi"/>
              <w:sz w:val="24"/>
              <w:szCs w:val="24"/>
            </w:rPr>
            <w:fldChar w:fldCharType="separate"/>
          </w:r>
          <w:hyperlink w:anchor="_Toc373498150" w:history="1">
            <w:r w:rsidR="00F35B2A" w:rsidRPr="00F35B2A">
              <w:rPr>
                <w:rStyle w:val="Hyperlink"/>
                <w:rFonts w:cstheme="minorHAnsi"/>
                <w:noProof/>
                <w:sz w:val="24"/>
                <w:szCs w:val="24"/>
                <w:lang w:val="en-US"/>
              </w:rPr>
              <w:t>1</w:t>
            </w:r>
            <w:r w:rsidR="00F35B2A" w:rsidRPr="00F35B2A">
              <w:rPr>
                <w:rFonts w:eastAsiaTheme="minorEastAsia" w:cstheme="minorHAnsi"/>
                <w:noProof/>
                <w:sz w:val="24"/>
                <w:szCs w:val="24"/>
                <w:lang w:eastAsia="de-AT"/>
              </w:rPr>
              <w:tab/>
            </w:r>
            <w:r w:rsidR="00F35B2A" w:rsidRPr="00F35B2A">
              <w:rPr>
                <w:rStyle w:val="Hyperlink"/>
                <w:rFonts w:cstheme="minorHAnsi"/>
                <w:noProof/>
                <w:sz w:val="24"/>
                <w:szCs w:val="24"/>
                <w:lang w:val="en-US"/>
              </w:rPr>
              <w:t>FE in Österreich</w:t>
            </w:r>
            <w:r w:rsidR="00F35B2A" w:rsidRPr="00F35B2A">
              <w:rPr>
                <w:rFonts w:cstheme="minorHAnsi"/>
                <w:noProof/>
                <w:webHidden/>
                <w:sz w:val="24"/>
                <w:szCs w:val="24"/>
              </w:rPr>
              <w:tab/>
            </w:r>
            <w:r w:rsidR="00F35B2A" w:rsidRPr="00F35B2A">
              <w:rPr>
                <w:rFonts w:cstheme="minorHAnsi"/>
                <w:noProof/>
                <w:webHidden/>
                <w:sz w:val="24"/>
                <w:szCs w:val="24"/>
              </w:rPr>
              <w:fldChar w:fldCharType="begin"/>
            </w:r>
            <w:r w:rsidR="00F35B2A" w:rsidRPr="00F35B2A">
              <w:rPr>
                <w:rFonts w:cstheme="minorHAnsi"/>
                <w:noProof/>
                <w:webHidden/>
                <w:sz w:val="24"/>
                <w:szCs w:val="24"/>
              </w:rPr>
              <w:instrText xml:space="preserve"> PAGEREF _Toc373498150 \h </w:instrText>
            </w:r>
            <w:r w:rsidR="00F35B2A" w:rsidRPr="00F35B2A">
              <w:rPr>
                <w:rFonts w:cstheme="minorHAnsi"/>
                <w:noProof/>
                <w:webHidden/>
                <w:sz w:val="24"/>
                <w:szCs w:val="24"/>
              </w:rPr>
            </w:r>
            <w:r w:rsidR="00F35B2A" w:rsidRPr="00F35B2A">
              <w:rPr>
                <w:rFonts w:cstheme="minorHAnsi"/>
                <w:noProof/>
                <w:webHidden/>
                <w:sz w:val="24"/>
                <w:szCs w:val="24"/>
              </w:rPr>
              <w:fldChar w:fldCharType="separate"/>
            </w:r>
            <w:r w:rsidR="00F35B2A" w:rsidRPr="00F35B2A">
              <w:rPr>
                <w:rFonts w:cstheme="minorHAnsi"/>
                <w:noProof/>
                <w:webHidden/>
                <w:sz w:val="24"/>
                <w:szCs w:val="24"/>
              </w:rPr>
              <w:t>3</w:t>
            </w:r>
            <w:r w:rsidR="00F35B2A" w:rsidRPr="00F35B2A">
              <w:rPr>
                <w:rFonts w:cstheme="minorHAnsi"/>
                <w:noProof/>
                <w:webHidden/>
                <w:sz w:val="24"/>
                <w:szCs w:val="24"/>
              </w:rPr>
              <w:fldChar w:fldCharType="end"/>
            </w:r>
          </w:hyperlink>
        </w:p>
        <w:p w14:paraId="4223D984" w14:textId="77777777" w:rsidR="00F35B2A" w:rsidRPr="00F35B2A" w:rsidRDefault="00F35B2A">
          <w:pPr>
            <w:pStyle w:val="Verzeichnis2"/>
            <w:tabs>
              <w:tab w:val="left" w:pos="880"/>
              <w:tab w:val="right" w:leader="dot" w:pos="9062"/>
            </w:tabs>
            <w:rPr>
              <w:rFonts w:eastAsiaTheme="minorEastAsia" w:cstheme="minorHAnsi"/>
              <w:noProof/>
              <w:sz w:val="24"/>
              <w:szCs w:val="24"/>
              <w:lang w:eastAsia="de-AT"/>
            </w:rPr>
          </w:pPr>
          <w:hyperlink w:anchor="_Toc373498151" w:history="1">
            <w:r w:rsidRPr="00F35B2A">
              <w:rPr>
                <w:rStyle w:val="Hyperlink"/>
                <w:rFonts w:cstheme="minorHAnsi"/>
                <w:i/>
                <w:caps/>
                <w:noProof/>
                <w:sz w:val="24"/>
                <w:szCs w:val="24"/>
                <w:lang w:val="en-GB"/>
              </w:rPr>
              <w:t>1.1</w:t>
            </w:r>
            <w:r w:rsidRPr="00F35B2A">
              <w:rPr>
                <w:rFonts w:eastAsiaTheme="minorEastAsia" w:cstheme="minorHAnsi"/>
                <w:noProof/>
                <w:sz w:val="24"/>
                <w:szCs w:val="24"/>
                <w:lang w:eastAsia="de-AT"/>
              </w:rPr>
              <w:tab/>
            </w:r>
            <w:r w:rsidRPr="00F35B2A">
              <w:rPr>
                <w:rStyle w:val="Hyperlink"/>
                <w:rFonts w:cstheme="minorHAnsi"/>
                <w:i/>
                <w:caps/>
                <w:noProof/>
                <w:sz w:val="24"/>
                <w:szCs w:val="24"/>
                <w:lang w:val="en-GB"/>
              </w:rPr>
              <w:t>Status Quo</w:t>
            </w:r>
            <w:r w:rsidRPr="00F35B2A">
              <w:rPr>
                <w:rFonts w:cstheme="minorHAnsi"/>
                <w:noProof/>
                <w:webHidden/>
                <w:sz w:val="24"/>
                <w:szCs w:val="24"/>
              </w:rPr>
              <w:tab/>
            </w:r>
            <w:r w:rsidRPr="00F35B2A">
              <w:rPr>
                <w:rFonts w:cstheme="minorHAnsi"/>
                <w:noProof/>
                <w:webHidden/>
                <w:sz w:val="24"/>
                <w:szCs w:val="24"/>
              </w:rPr>
              <w:fldChar w:fldCharType="begin"/>
            </w:r>
            <w:r w:rsidRPr="00F35B2A">
              <w:rPr>
                <w:rFonts w:cstheme="minorHAnsi"/>
                <w:noProof/>
                <w:webHidden/>
                <w:sz w:val="24"/>
                <w:szCs w:val="24"/>
              </w:rPr>
              <w:instrText xml:space="preserve"> PAGEREF _Toc373498151 \h </w:instrText>
            </w:r>
            <w:r w:rsidRPr="00F35B2A">
              <w:rPr>
                <w:rFonts w:cstheme="minorHAnsi"/>
                <w:noProof/>
                <w:webHidden/>
                <w:sz w:val="24"/>
                <w:szCs w:val="24"/>
              </w:rPr>
            </w:r>
            <w:r w:rsidRPr="00F35B2A">
              <w:rPr>
                <w:rFonts w:cstheme="minorHAnsi"/>
                <w:noProof/>
                <w:webHidden/>
                <w:sz w:val="24"/>
                <w:szCs w:val="24"/>
              </w:rPr>
              <w:fldChar w:fldCharType="separate"/>
            </w:r>
            <w:r w:rsidRPr="00F35B2A">
              <w:rPr>
                <w:rFonts w:cstheme="minorHAnsi"/>
                <w:noProof/>
                <w:webHidden/>
                <w:sz w:val="24"/>
                <w:szCs w:val="24"/>
              </w:rPr>
              <w:t>3</w:t>
            </w:r>
            <w:r w:rsidRPr="00F35B2A">
              <w:rPr>
                <w:rFonts w:cstheme="minorHAnsi"/>
                <w:noProof/>
                <w:webHidden/>
                <w:sz w:val="24"/>
                <w:szCs w:val="24"/>
              </w:rPr>
              <w:fldChar w:fldCharType="end"/>
            </w:r>
          </w:hyperlink>
        </w:p>
        <w:p w14:paraId="745C86E6" w14:textId="77777777" w:rsidR="00F35B2A" w:rsidRPr="00F35B2A" w:rsidRDefault="00F35B2A">
          <w:pPr>
            <w:pStyle w:val="Verzeichnis2"/>
            <w:tabs>
              <w:tab w:val="left" w:pos="880"/>
              <w:tab w:val="right" w:leader="dot" w:pos="9062"/>
            </w:tabs>
            <w:rPr>
              <w:rFonts w:eastAsiaTheme="minorEastAsia" w:cstheme="minorHAnsi"/>
              <w:noProof/>
              <w:sz w:val="24"/>
              <w:szCs w:val="24"/>
              <w:lang w:eastAsia="de-AT"/>
            </w:rPr>
          </w:pPr>
          <w:hyperlink w:anchor="_Toc373498152" w:history="1">
            <w:r w:rsidRPr="00F35B2A">
              <w:rPr>
                <w:rStyle w:val="Hyperlink"/>
                <w:rFonts w:cstheme="minorHAnsi"/>
                <w:i/>
                <w:caps/>
                <w:noProof/>
                <w:sz w:val="24"/>
                <w:szCs w:val="24"/>
                <w:lang w:val="en-GB"/>
              </w:rPr>
              <w:t>1.2</w:t>
            </w:r>
            <w:r w:rsidRPr="00F35B2A">
              <w:rPr>
                <w:rFonts w:eastAsiaTheme="minorEastAsia" w:cstheme="minorHAnsi"/>
                <w:noProof/>
                <w:sz w:val="24"/>
                <w:szCs w:val="24"/>
                <w:lang w:eastAsia="de-AT"/>
              </w:rPr>
              <w:tab/>
            </w:r>
            <w:r w:rsidRPr="00F35B2A">
              <w:rPr>
                <w:rStyle w:val="Hyperlink"/>
                <w:rFonts w:cstheme="minorHAnsi"/>
                <w:i/>
                <w:caps/>
                <w:noProof/>
                <w:sz w:val="24"/>
                <w:szCs w:val="24"/>
                <w:lang w:val="en-GB"/>
              </w:rPr>
              <w:t>Einrichtungen und schulen</w:t>
            </w:r>
            <w:r w:rsidRPr="00F35B2A">
              <w:rPr>
                <w:rFonts w:cstheme="minorHAnsi"/>
                <w:noProof/>
                <w:webHidden/>
                <w:sz w:val="24"/>
                <w:szCs w:val="24"/>
              </w:rPr>
              <w:tab/>
            </w:r>
            <w:r w:rsidRPr="00F35B2A">
              <w:rPr>
                <w:rFonts w:cstheme="minorHAnsi"/>
                <w:noProof/>
                <w:webHidden/>
                <w:sz w:val="24"/>
                <w:szCs w:val="24"/>
              </w:rPr>
              <w:fldChar w:fldCharType="begin"/>
            </w:r>
            <w:r w:rsidRPr="00F35B2A">
              <w:rPr>
                <w:rFonts w:cstheme="minorHAnsi"/>
                <w:noProof/>
                <w:webHidden/>
                <w:sz w:val="24"/>
                <w:szCs w:val="24"/>
              </w:rPr>
              <w:instrText xml:space="preserve"> PAGEREF _Toc373498152 \h </w:instrText>
            </w:r>
            <w:r w:rsidRPr="00F35B2A">
              <w:rPr>
                <w:rFonts w:cstheme="minorHAnsi"/>
                <w:noProof/>
                <w:webHidden/>
                <w:sz w:val="24"/>
                <w:szCs w:val="24"/>
              </w:rPr>
            </w:r>
            <w:r w:rsidRPr="00F35B2A">
              <w:rPr>
                <w:rFonts w:cstheme="minorHAnsi"/>
                <w:noProof/>
                <w:webHidden/>
                <w:sz w:val="24"/>
                <w:szCs w:val="24"/>
              </w:rPr>
              <w:fldChar w:fldCharType="separate"/>
            </w:r>
            <w:r w:rsidRPr="00F35B2A">
              <w:rPr>
                <w:rFonts w:cstheme="minorHAnsi"/>
                <w:noProof/>
                <w:webHidden/>
                <w:sz w:val="24"/>
                <w:szCs w:val="24"/>
              </w:rPr>
              <w:t>6</w:t>
            </w:r>
            <w:r w:rsidRPr="00F35B2A">
              <w:rPr>
                <w:rFonts w:cstheme="minorHAnsi"/>
                <w:noProof/>
                <w:webHidden/>
                <w:sz w:val="24"/>
                <w:szCs w:val="24"/>
              </w:rPr>
              <w:fldChar w:fldCharType="end"/>
            </w:r>
          </w:hyperlink>
        </w:p>
        <w:p w14:paraId="1CB01F9E" w14:textId="77777777" w:rsidR="00F35B2A" w:rsidRPr="00F35B2A" w:rsidRDefault="00F35B2A">
          <w:pPr>
            <w:pStyle w:val="Verzeichnis3"/>
            <w:tabs>
              <w:tab w:val="left" w:pos="1320"/>
              <w:tab w:val="right" w:leader="dot" w:pos="9062"/>
            </w:tabs>
            <w:rPr>
              <w:rFonts w:eastAsiaTheme="minorEastAsia" w:cstheme="minorHAnsi"/>
              <w:noProof/>
              <w:sz w:val="24"/>
              <w:szCs w:val="24"/>
              <w:lang w:eastAsia="de-AT"/>
            </w:rPr>
          </w:pPr>
          <w:hyperlink w:anchor="_Toc373498153" w:history="1">
            <w:r w:rsidRPr="00F35B2A">
              <w:rPr>
                <w:rStyle w:val="Hyperlink"/>
                <w:rFonts w:cstheme="minorHAnsi"/>
                <w:i/>
                <w:noProof/>
                <w:sz w:val="24"/>
                <w:szCs w:val="24"/>
              </w:rPr>
              <w:t>1.2.1</w:t>
            </w:r>
            <w:r w:rsidRPr="00F35B2A">
              <w:rPr>
                <w:rFonts w:eastAsiaTheme="minorEastAsia" w:cstheme="minorHAnsi"/>
                <w:noProof/>
                <w:sz w:val="24"/>
                <w:szCs w:val="24"/>
                <w:lang w:eastAsia="de-AT"/>
              </w:rPr>
              <w:tab/>
            </w:r>
            <w:r w:rsidRPr="00F35B2A">
              <w:rPr>
                <w:rStyle w:val="Hyperlink"/>
                <w:rFonts w:cstheme="minorHAnsi"/>
                <w:i/>
                <w:noProof/>
                <w:sz w:val="24"/>
                <w:szCs w:val="24"/>
              </w:rPr>
              <w:t>Überblick über das Schulsystem</w:t>
            </w:r>
            <w:r w:rsidRPr="00F35B2A">
              <w:rPr>
                <w:rFonts w:cstheme="minorHAnsi"/>
                <w:noProof/>
                <w:webHidden/>
                <w:sz w:val="24"/>
                <w:szCs w:val="24"/>
              </w:rPr>
              <w:tab/>
            </w:r>
            <w:r w:rsidRPr="00F35B2A">
              <w:rPr>
                <w:rFonts w:cstheme="minorHAnsi"/>
                <w:noProof/>
                <w:webHidden/>
                <w:sz w:val="24"/>
                <w:szCs w:val="24"/>
              </w:rPr>
              <w:fldChar w:fldCharType="begin"/>
            </w:r>
            <w:r w:rsidRPr="00F35B2A">
              <w:rPr>
                <w:rFonts w:cstheme="minorHAnsi"/>
                <w:noProof/>
                <w:webHidden/>
                <w:sz w:val="24"/>
                <w:szCs w:val="24"/>
              </w:rPr>
              <w:instrText xml:space="preserve"> PAGEREF _Toc373498153 \h </w:instrText>
            </w:r>
            <w:r w:rsidRPr="00F35B2A">
              <w:rPr>
                <w:rFonts w:cstheme="minorHAnsi"/>
                <w:noProof/>
                <w:webHidden/>
                <w:sz w:val="24"/>
                <w:szCs w:val="24"/>
              </w:rPr>
            </w:r>
            <w:r w:rsidRPr="00F35B2A">
              <w:rPr>
                <w:rFonts w:cstheme="minorHAnsi"/>
                <w:noProof/>
                <w:webHidden/>
                <w:sz w:val="24"/>
                <w:szCs w:val="24"/>
              </w:rPr>
              <w:fldChar w:fldCharType="separate"/>
            </w:r>
            <w:r w:rsidRPr="00F35B2A">
              <w:rPr>
                <w:rFonts w:cstheme="minorHAnsi"/>
                <w:noProof/>
                <w:webHidden/>
                <w:sz w:val="24"/>
                <w:szCs w:val="24"/>
              </w:rPr>
              <w:t>6</w:t>
            </w:r>
            <w:r w:rsidRPr="00F35B2A">
              <w:rPr>
                <w:rFonts w:cstheme="minorHAnsi"/>
                <w:noProof/>
                <w:webHidden/>
                <w:sz w:val="24"/>
                <w:szCs w:val="24"/>
              </w:rPr>
              <w:fldChar w:fldCharType="end"/>
            </w:r>
          </w:hyperlink>
        </w:p>
        <w:p w14:paraId="2BB99FD4" w14:textId="77777777" w:rsidR="00F35B2A" w:rsidRPr="00F35B2A" w:rsidRDefault="00F35B2A">
          <w:pPr>
            <w:pStyle w:val="Verzeichnis3"/>
            <w:tabs>
              <w:tab w:val="left" w:pos="1320"/>
              <w:tab w:val="right" w:leader="dot" w:pos="9062"/>
            </w:tabs>
            <w:rPr>
              <w:rFonts w:eastAsiaTheme="minorEastAsia" w:cstheme="minorHAnsi"/>
              <w:noProof/>
              <w:sz w:val="24"/>
              <w:szCs w:val="24"/>
              <w:lang w:eastAsia="de-AT"/>
            </w:rPr>
          </w:pPr>
          <w:hyperlink w:anchor="_Toc373498154" w:history="1">
            <w:r w:rsidRPr="00F35B2A">
              <w:rPr>
                <w:rStyle w:val="Hyperlink"/>
                <w:rFonts w:cstheme="minorHAnsi"/>
                <w:i/>
                <w:noProof/>
                <w:sz w:val="24"/>
                <w:szCs w:val="24"/>
              </w:rPr>
              <w:t>1.2.2</w:t>
            </w:r>
            <w:r w:rsidRPr="00F35B2A">
              <w:rPr>
                <w:rFonts w:eastAsiaTheme="minorEastAsia" w:cstheme="minorHAnsi"/>
                <w:noProof/>
                <w:sz w:val="24"/>
                <w:szCs w:val="24"/>
                <w:lang w:eastAsia="de-AT"/>
              </w:rPr>
              <w:tab/>
            </w:r>
            <w:r w:rsidRPr="00F35B2A">
              <w:rPr>
                <w:rStyle w:val="Hyperlink"/>
                <w:rFonts w:cstheme="minorHAnsi"/>
                <w:i/>
                <w:noProof/>
                <w:sz w:val="24"/>
                <w:szCs w:val="24"/>
              </w:rPr>
              <w:t>Nationale Einrichtungen</w:t>
            </w:r>
            <w:r w:rsidRPr="00F35B2A">
              <w:rPr>
                <w:rFonts w:cstheme="minorHAnsi"/>
                <w:noProof/>
                <w:webHidden/>
                <w:sz w:val="24"/>
                <w:szCs w:val="24"/>
              </w:rPr>
              <w:tab/>
            </w:r>
            <w:r w:rsidRPr="00F35B2A">
              <w:rPr>
                <w:rFonts w:cstheme="minorHAnsi"/>
                <w:noProof/>
                <w:webHidden/>
                <w:sz w:val="24"/>
                <w:szCs w:val="24"/>
              </w:rPr>
              <w:fldChar w:fldCharType="begin"/>
            </w:r>
            <w:r w:rsidRPr="00F35B2A">
              <w:rPr>
                <w:rFonts w:cstheme="minorHAnsi"/>
                <w:noProof/>
                <w:webHidden/>
                <w:sz w:val="24"/>
                <w:szCs w:val="24"/>
              </w:rPr>
              <w:instrText xml:space="preserve"> PAGEREF _Toc373498154 \h </w:instrText>
            </w:r>
            <w:r w:rsidRPr="00F35B2A">
              <w:rPr>
                <w:rFonts w:cstheme="minorHAnsi"/>
                <w:noProof/>
                <w:webHidden/>
                <w:sz w:val="24"/>
                <w:szCs w:val="24"/>
              </w:rPr>
            </w:r>
            <w:r w:rsidRPr="00F35B2A">
              <w:rPr>
                <w:rFonts w:cstheme="minorHAnsi"/>
                <w:noProof/>
                <w:webHidden/>
                <w:sz w:val="24"/>
                <w:szCs w:val="24"/>
              </w:rPr>
              <w:fldChar w:fldCharType="separate"/>
            </w:r>
            <w:r w:rsidRPr="00F35B2A">
              <w:rPr>
                <w:rFonts w:cstheme="minorHAnsi"/>
                <w:noProof/>
                <w:webHidden/>
                <w:sz w:val="24"/>
                <w:szCs w:val="24"/>
              </w:rPr>
              <w:t>8</w:t>
            </w:r>
            <w:r w:rsidRPr="00F35B2A">
              <w:rPr>
                <w:rFonts w:cstheme="minorHAnsi"/>
                <w:noProof/>
                <w:webHidden/>
                <w:sz w:val="24"/>
                <w:szCs w:val="24"/>
              </w:rPr>
              <w:fldChar w:fldCharType="end"/>
            </w:r>
          </w:hyperlink>
        </w:p>
        <w:p w14:paraId="0B356109" w14:textId="77777777" w:rsidR="00F35B2A" w:rsidRPr="00F35B2A" w:rsidRDefault="00F35B2A">
          <w:pPr>
            <w:pStyle w:val="Verzeichnis3"/>
            <w:tabs>
              <w:tab w:val="left" w:pos="1320"/>
              <w:tab w:val="right" w:leader="dot" w:pos="9062"/>
            </w:tabs>
            <w:rPr>
              <w:rFonts w:eastAsiaTheme="minorEastAsia" w:cstheme="minorHAnsi"/>
              <w:noProof/>
              <w:sz w:val="24"/>
              <w:szCs w:val="24"/>
              <w:lang w:eastAsia="de-AT"/>
            </w:rPr>
          </w:pPr>
          <w:hyperlink w:anchor="_Toc373498155" w:history="1">
            <w:r w:rsidRPr="00F35B2A">
              <w:rPr>
                <w:rStyle w:val="Hyperlink"/>
                <w:rFonts w:cstheme="minorHAnsi"/>
                <w:i/>
                <w:noProof/>
                <w:sz w:val="24"/>
                <w:szCs w:val="24"/>
                <w:lang w:val="en-GB"/>
              </w:rPr>
              <w:t>1.2.3</w:t>
            </w:r>
            <w:r w:rsidRPr="00F35B2A">
              <w:rPr>
                <w:rFonts w:eastAsiaTheme="minorEastAsia" w:cstheme="minorHAnsi"/>
                <w:noProof/>
                <w:sz w:val="24"/>
                <w:szCs w:val="24"/>
                <w:lang w:eastAsia="de-AT"/>
              </w:rPr>
              <w:tab/>
            </w:r>
            <w:r w:rsidRPr="00F35B2A">
              <w:rPr>
                <w:rStyle w:val="Hyperlink"/>
                <w:rFonts w:cstheme="minorHAnsi"/>
                <w:i/>
                <w:noProof/>
                <w:sz w:val="24"/>
                <w:szCs w:val="24"/>
                <w:lang w:val="en-GB"/>
              </w:rPr>
              <w:t>Partnerschule im Projekt</w:t>
            </w:r>
            <w:r w:rsidRPr="00F35B2A">
              <w:rPr>
                <w:rFonts w:cstheme="minorHAnsi"/>
                <w:noProof/>
                <w:webHidden/>
                <w:sz w:val="24"/>
                <w:szCs w:val="24"/>
              </w:rPr>
              <w:tab/>
            </w:r>
            <w:r w:rsidRPr="00F35B2A">
              <w:rPr>
                <w:rFonts w:cstheme="minorHAnsi"/>
                <w:noProof/>
                <w:webHidden/>
                <w:sz w:val="24"/>
                <w:szCs w:val="24"/>
              </w:rPr>
              <w:fldChar w:fldCharType="begin"/>
            </w:r>
            <w:r w:rsidRPr="00F35B2A">
              <w:rPr>
                <w:rFonts w:cstheme="minorHAnsi"/>
                <w:noProof/>
                <w:webHidden/>
                <w:sz w:val="24"/>
                <w:szCs w:val="24"/>
              </w:rPr>
              <w:instrText xml:space="preserve"> PAGEREF _Toc373498155 \h </w:instrText>
            </w:r>
            <w:r w:rsidRPr="00F35B2A">
              <w:rPr>
                <w:rFonts w:cstheme="minorHAnsi"/>
                <w:noProof/>
                <w:webHidden/>
                <w:sz w:val="24"/>
                <w:szCs w:val="24"/>
              </w:rPr>
            </w:r>
            <w:r w:rsidRPr="00F35B2A">
              <w:rPr>
                <w:rFonts w:cstheme="minorHAnsi"/>
                <w:noProof/>
                <w:webHidden/>
                <w:sz w:val="24"/>
                <w:szCs w:val="24"/>
              </w:rPr>
              <w:fldChar w:fldCharType="separate"/>
            </w:r>
            <w:r w:rsidRPr="00F35B2A">
              <w:rPr>
                <w:rFonts w:cstheme="minorHAnsi"/>
                <w:noProof/>
                <w:webHidden/>
                <w:sz w:val="24"/>
                <w:szCs w:val="24"/>
              </w:rPr>
              <w:t>10</w:t>
            </w:r>
            <w:r w:rsidRPr="00F35B2A">
              <w:rPr>
                <w:rFonts w:cstheme="minorHAnsi"/>
                <w:noProof/>
                <w:webHidden/>
                <w:sz w:val="24"/>
                <w:szCs w:val="24"/>
              </w:rPr>
              <w:fldChar w:fldCharType="end"/>
            </w:r>
          </w:hyperlink>
        </w:p>
        <w:p w14:paraId="19D841A8" w14:textId="77777777" w:rsidR="00F35B2A" w:rsidRPr="00F35B2A" w:rsidRDefault="00F35B2A">
          <w:pPr>
            <w:pStyle w:val="Verzeichnis1"/>
            <w:tabs>
              <w:tab w:val="left" w:pos="440"/>
              <w:tab w:val="right" w:leader="dot" w:pos="9062"/>
            </w:tabs>
            <w:rPr>
              <w:rFonts w:eastAsiaTheme="minorEastAsia" w:cstheme="minorHAnsi"/>
              <w:noProof/>
              <w:sz w:val="24"/>
              <w:szCs w:val="24"/>
              <w:lang w:eastAsia="de-AT"/>
            </w:rPr>
          </w:pPr>
          <w:hyperlink w:anchor="_Toc373498156" w:history="1">
            <w:r w:rsidRPr="00F35B2A">
              <w:rPr>
                <w:rStyle w:val="Hyperlink"/>
                <w:rFonts w:cstheme="minorHAnsi"/>
                <w:noProof/>
                <w:sz w:val="24"/>
                <w:szCs w:val="24"/>
                <w:lang w:val="en-US"/>
              </w:rPr>
              <w:t>2</w:t>
            </w:r>
            <w:r w:rsidRPr="00F35B2A">
              <w:rPr>
                <w:rFonts w:eastAsiaTheme="minorEastAsia" w:cstheme="minorHAnsi"/>
                <w:noProof/>
                <w:sz w:val="24"/>
                <w:szCs w:val="24"/>
                <w:lang w:eastAsia="de-AT"/>
              </w:rPr>
              <w:tab/>
            </w:r>
            <w:r w:rsidRPr="00F35B2A">
              <w:rPr>
                <w:rStyle w:val="Hyperlink"/>
                <w:rFonts w:cstheme="minorHAnsi"/>
                <w:noProof/>
                <w:sz w:val="24"/>
                <w:szCs w:val="24"/>
                <w:lang w:val="en-US"/>
              </w:rPr>
              <w:t>Fazit</w:t>
            </w:r>
            <w:r w:rsidRPr="00F35B2A">
              <w:rPr>
                <w:rFonts w:cstheme="minorHAnsi"/>
                <w:noProof/>
                <w:webHidden/>
                <w:sz w:val="24"/>
                <w:szCs w:val="24"/>
              </w:rPr>
              <w:tab/>
            </w:r>
            <w:r w:rsidRPr="00F35B2A">
              <w:rPr>
                <w:rFonts w:cstheme="minorHAnsi"/>
                <w:noProof/>
                <w:webHidden/>
                <w:sz w:val="24"/>
                <w:szCs w:val="24"/>
              </w:rPr>
              <w:fldChar w:fldCharType="begin"/>
            </w:r>
            <w:r w:rsidRPr="00F35B2A">
              <w:rPr>
                <w:rFonts w:cstheme="minorHAnsi"/>
                <w:noProof/>
                <w:webHidden/>
                <w:sz w:val="24"/>
                <w:szCs w:val="24"/>
              </w:rPr>
              <w:instrText xml:space="preserve"> PAGEREF _Toc373498156 \h </w:instrText>
            </w:r>
            <w:r w:rsidRPr="00F35B2A">
              <w:rPr>
                <w:rFonts w:cstheme="minorHAnsi"/>
                <w:noProof/>
                <w:webHidden/>
                <w:sz w:val="24"/>
                <w:szCs w:val="24"/>
              </w:rPr>
            </w:r>
            <w:r w:rsidRPr="00F35B2A">
              <w:rPr>
                <w:rFonts w:cstheme="minorHAnsi"/>
                <w:noProof/>
                <w:webHidden/>
                <w:sz w:val="24"/>
                <w:szCs w:val="24"/>
              </w:rPr>
              <w:fldChar w:fldCharType="separate"/>
            </w:r>
            <w:r w:rsidRPr="00F35B2A">
              <w:rPr>
                <w:rFonts w:cstheme="minorHAnsi"/>
                <w:noProof/>
                <w:webHidden/>
                <w:sz w:val="24"/>
                <w:szCs w:val="24"/>
              </w:rPr>
              <w:t>11</w:t>
            </w:r>
            <w:r w:rsidRPr="00F35B2A">
              <w:rPr>
                <w:rFonts w:cstheme="minorHAnsi"/>
                <w:noProof/>
                <w:webHidden/>
                <w:sz w:val="24"/>
                <w:szCs w:val="24"/>
              </w:rPr>
              <w:fldChar w:fldCharType="end"/>
            </w:r>
          </w:hyperlink>
        </w:p>
        <w:p w14:paraId="0AE95FC4" w14:textId="293F0E6F" w:rsidR="001B784C" w:rsidRPr="00131E5D" w:rsidRDefault="00A86278" w:rsidP="007974D6">
          <w:pPr>
            <w:pStyle w:val="Verzeichnis1"/>
            <w:tabs>
              <w:tab w:val="left" w:pos="440"/>
              <w:tab w:val="right" w:leader="dot" w:pos="9062"/>
            </w:tabs>
            <w:rPr>
              <w:rStyle w:val="Hyperlink"/>
              <w:rFonts w:ascii="Arial" w:hAnsi="Arial" w:cs="Arial"/>
              <w:noProof/>
              <w:color w:val="auto"/>
              <w:u w:val="none"/>
              <w:lang w:val="en-US"/>
            </w:rPr>
          </w:pPr>
          <w:r w:rsidRPr="00F35B2A">
            <w:rPr>
              <w:rFonts w:cstheme="minorHAnsi"/>
              <w:b/>
              <w:bCs/>
              <w:sz w:val="24"/>
              <w:szCs w:val="24"/>
              <w:lang w:val="de-DE"/>
            </w:rPr>
            <w:fldChar w:fldCharType="end"/>
          </w:r>
          <w:r w:rsidR="00F35B2A" w:rsidRPr="00F35B2A">
            <w:rPr>
              <w:rStyle w:val="Hyperlink"/>
              <w:rFonts w:cstheme="minorHAnsi"/>
              <w:noProof/>
              <w:color w:val="auto"/>
              <w:sz w:val="24"/>
              <w:szCs w:val="24"/>
              <w:u w:val="none"/>
              <w:lang w:val="en-US"/>
            </w:rPr>
            <w:t>Quellen</w:t>
          </w:r>
          <w:r w:rsidR="007974D6" w:rsidRPr="00F35B2A">
            <w:rPr>
              <w:rStyle w:val="Hyperlink"/>
              <w:rFonts w:cstheme="minorHAnsi"/>
              <w:noProof/>
              <w:color w:val="auto"/>
              <w:sz w:val="24"/>
              <w:szCs w:val="24"/>
              <w:u w:val="none"/>
              <w:lang w:val="en-US"/>
            </w:rPr>
            <w:tab/>
            <w:t>1</w:t>
          </w:r>
          <w:r w:rsidR="00A1628E" w:rsidRPr="00F35B2A">
            <w:rPr>
              <w:rStyle w:val="Hyperlink"/>
              <w:rFonts w:cstheme="minorHAnsi"/>
              <w:noProof/>
              <w:color w:val="auto"/>
              <w:sz w:val="24"/>
              <w:szCs w:val="24"/>
              <w:u w:val="none"/>
              <w:lang w:val="en-US"/>
            </w:rPr>
            <w:t>3</w:t>
          </w:r>
        </w:p>
      </w:sdtContent>
    </w:sdt>
    <w:p w14:paraId="360B9215" w14:textId="77777777" w:rsidR="007829FD" w:rsidRPr="00907D0E" w:rsidRDefault="007829FD" w:rsidP="0091556D">
      <w:pPr>
        <w:spacing w:after="0" w:line="360" w:lineRule="auto"/>
        <w:rPr>
          <w:rFonts w:ascii="Arial" w:hAnsi="Arial" w:cs="Arial"/>
          <w:lang w:val="en-GB"/>
        </w:rPr>
      </w:pPr>
    </w:p>
    <w:p w14:paraId="7F96F9B1" w14:textId="1AF6E230" w:rsidR="00DC36D6" w:rsidRPr="0043174B" w:rsidRDefault="0054095C" w:rsidP="00DC36D6">
      <w:pPr>
        <w:pStyle w:val="berschrift1"/>
        <w:numPr>
          <w:ilvl w:val="0"/>
          <w:numId w:val="18"/>
        </w:numPr>
        <w:rPr>
          <w:rFonts w:ascii="Arial" w:hAnsi="Arial" w:cs="Arial"/>
          <w:color w:val="76923C" w:themeColor="accent3" w:themeShade="BF"/>
          <w:sz w:val="44"/>
          <w:lang w:val="en-US"/>
        </w:rPr>
      </w:pPr>
      <w:r w:rsidRPr="00907D0E">
        <w:rPr>
          <w:rFonts w:ascii="Arial" w:hAnsi="Arial" w:cs="Arial"/>
          <w:lang w:val="en-GB"/>
        </w:rPr>
        <w:br w:type="page"/>
      </w:r>
      <w:bookmarkStart w:id="0" w:name="_Toc373498150"/>
      <w:r w:rsidR="005F15D8">
        <w:rPr>
          <w:rFonts w:ascii="Arial" w:hAnsi="Arial" w:cs="Arial"/>
          <w:color w:val="76923C" w:themeColor="accent3" w:themeShade="BF"/>
          <w:sz w:val="44"/>
          <w:lang w:val="en-US"/>
        </w:rPr>
        <w:t xml:space="preserve">FE in </w:t>
      </w:r>
      <w:proofErr w:type="spellStart"/>
      <w:r w:rsidR="005F15D8">
        <w:rPr>
          <w:rFonts w:ascii="Arial" w:hAnsi="Arial" w:cs="Arial"/>
          <w:color w:val="76923C" w:themeColor="accent3" w:themeShade="BF"/>
          <w:sz w:val="44"/>
          <w:lang w:val="en-US"/>
        </w:rPr>
        <w:t>Österreich</w:t>
      </w:r>
      <w:bookmarkEnd w:id="0"/>
      <w:proofErr w:type="spellEnd"/>
      <w:r w:rsidR="005F15D8">
        <w:rPr>
          <w:rFonts w:ascii="Arial" w:hAnsi="Arial" w:cs="Arial"/>
          <w:color w:val="76923C" w:themeColor="accent3" w:themeShade="BF"/>
          <w:sz w:val="44"/>
          <w:lang w:val="en-US"/>
        </w:rPr>
        <w:t xml:space="preserve"> </w:t>
      </w:r>
    </w:p>
    <w:p w14:paraId="5DF6016C" w14:textId="77777777" w:rsidR="00DC36D6" w:rsidRDefault="00DC36D6" w:rsidP="00DC36D6">
      <w:pPr>
        <w:spacing w:after="0" w:line="240" w:lineRule="auto"/>
        <w:rPr>
          <w:rFonts w:ascii="Arial" w:hAnsi="Arial" w:cs="Arial"/>
          <w:lang w:val="en-US"/>
        </w:rPr>
      </w:pPr>
    </w:p>
    <w:p w14:paraId="229A002B" w14:textId="7F3C9738" w:rsidR="00DC36D6" w:rsidRPr="005F15D8" w:rsidRDefault="005F15D8" w:rsidP="00105B3E">
      <w:pPr>
        <w:spacing w:after="0" w:line="360" w:lineRule="auto"/>
        <w:jc w:val="both"/>
        <w:rPr>
          <w:rFonts w:ascii="Arial" w:hAnsi="Arial" w:cs="Arial"/>
        </w:rPr>
      </w:pPr>
      <w:r w:rsidRPr="005F15D8">
        <w:rPr>
          <w:rFonts w:ascii="Arial" w:hAnsi="Arial" w:cs="Arial"/>
        </w:rPr>
        <w:t>Die Finanzbildung stellt seit Jahren ein wichtiges Diskussionsthema im Bildungsbereich Ö</w:t>
      </w:r>
      <w:r w:rsidRPr="005F15D8">
        <w:rPr>
          <w:rFonts w:ascii="Arial" w:hAnsi="Arial" w:cs="Arial"/>
        </w:rPr>
        <w:t>s</w:t>
      </w:r>
      <w:r w:rsidRPr="005F15D8">
        <w:rPr>
          <w:rFonts w:ascii="Arial" w:hAnsi="Arial" w:cs="Arial"/>
        </w:rPr>
        <w:t>terreichs dar. Die Debatte wurzelt nicht nur in der weltweiten Finanzkrise, sondern auch in deren Nachwirkungen. Es wurde sichtbar, dass viele Personen, die in Finanzmärkten tätig sind, die Funktionsweise und somit auch die Risiken von Finanzprodukten, mit denen sie sich in der Vergangenheit beschäftigt haben, nicht ausreichend verstehen. Aus diesem Grund wird der Finanzbildung im öffentlichen Dialog immer mehr Bedeutung beigeme</w:t>
      </w:r>
      <w:r w:rsidRPr="005F15D8">
        <w:rPr>
          <w:rFonts w:ascii="Arial" w:hAnsi="Arial" w:cs="Arial"/>
        </w:rPr>
        <w:t>s</w:t>
      </w:r>
      <w:r w:rsidRPr="005F15D8">
        <w:rPr>
          <w:rFonts w:ascii="Arial" w:hAnsi="Arial" w:cs="Arial"/>
        </w:rPr>
        <w:t>sen.</w:t>
      </w:r>
      <w:r w:rsidR="00105B3E">
        <w:rPr>
          <w:rFonts w:ascii="Arial" w:hAnsi="Arial" w:cs="Arial"/>
        </w:rPr>
        <w:t xml:space="preserve"> </w:t>
      </w:r>
      <w:r w:rsidRPr="005F15D8">
        <w:rPr>
          <w:rFonts w:ascii="Arial" w:hAnsi="Arial" w:cs="Arial"/>
        </w:rPr>
        <w:t>Öffentliche und private Einrichtungen konzentrieren sich auf dieses wesentliche Thema, um die finanzielle Leistungsfähigkeit der österreichischen Bevölkerung zu fördern. Dieses Kapitel liefert Informationen zum gegenwärtigen Zustand der österreichischen Finanzbildung, erlä</w:t>
      </w:r>
      <w:r w:rsidRPr="005F15D8">
        <w:rPr>
          <w:rFonts w:ascii="Arial" w:hAnsi="Arial" w:cs="Arial"/>
        </w:rPr>
        <w:t>u</w:t>
      </w:r>
      <w:r w:rsidRPr="005F15D8">
        <w:rPr>
          <w:rFonts w:ascii="Arial" w:hAnsi="Arial" w:cs="Arial"/>
        </w:rPr>
        <w:t>tert aktuelle Initiativen im Bereich der Finanzbildung für Schüler und Schülerinnen weiterfü</w:t>
      </w:r>
      <w:r w:rsidRPr="005F15D8">
        <w:rPr>
          <w:rFonts w:ascii="Arial" w:hAnsi="Arial" w:cs="Arial"/>
        </w:rPr>
        <w:t>h</w:t>
      </w:r>
      <w:r w:rsidRPr="005F15D8">
        <w:rPr>
          <w:rFonts w:ascii="Arial" w:hAnsi="Arial" w:cs="Arial"/>
        </w:rPr>
        <w:t>render Schulen und nennt Zahlen und Fakten des österreichischen Schulsystems. Am Ende des Kapitels wird die Partnerschule Österreichs – das BG/BRG Kirchengasse – vorg</w:t>
      </w:r>
      <w:r w:rsidRPr="005F15D8">
        <w:rPr>
          <w:rFonts w:ascii="Arial" w:hAnsi="Arial" w:cs="Arial"/>
        </w:rPr>
        <w:t>e</w:t>
      </w:r>
      <w:r w:rsidRPr="005F15D8">
        <w:rPr>
          <w:rFonts w:ascii="Arial" w:hAnsi="Arial" w:cs="Arial"/>
        </w:rPr>
        <w:t>stellt und die Ergebnisse der durchgeführten Gap-Analyse im Hinblick auf die Inhalte der Finan</w:t>
      </w:r>
      <w:r w:rsidRPr="005F15D8">
        <w:rPr>
          <w:rFonts w:ascii="Arial" w:hAnsi="Arial" w:cs="Arial"/>
        </w:rPr>
        <w:t>z</w:t>
      </w:r>
      <w:r w:rsidRPr="005F15D8">
        <w:rPr>
          <w:rFonts w:ascii="Arial" w:hAnsi="Arial" w:cs="Arial"/>
        </w:rPr>
        <w:t>bildung im Lehrplan für weiterführende Schulen in Österreich präsentiert.</w:t>
      </w:r>
    </w:p>
    <w:p w14:paraId="09052D0B" w14:textId="77777777" w:rsidR="00DC36D6" w:rsidRPr="00FA3808" w:rsidRDefault="00DC36D6" w:rsidP="00105B3E">
      <w:pPr>
        <w:pStyle w:val="berschrift2"/>
        <w:numPr>
          <w:ilvl w:val="1"/>
          <w:numId w:val="18"/>
        </w:numPr>
        <w:spacing w:before="240" w:after="120" w:line="240" w:lineRule="auto"/>
        <w:ind w:left="578" w:hanging="578"/>
        <w:jc w:val="both"/>
        <w:rPr>
          <w:rFonts w:ascii="Arial" w:hAnsi="Arial" w:cs="Arial"/>
          <w:i/>
          <w:caps/>
          <w:color w:val="4F6228" w:themeColor="accent3" w:themeShade="80"/>
          <w:lang w:val="en-GB"/>
        </w:rPr>
      </w:pPr>
      <w:bookmarkStart w:id="1" w:name="_Toc343602949"/>
      <w:bookmarkStart w:id="2" w:name="_Toc353272576"/>
      <w:bookmarkStart w:id="3" w:name="_Toc373498151"/>
      <w:r w:rsidRPr="00FA3808">
        <w:rPr>
          <w:rFonts w:ascii="Arial" w:hAnsi="Arial" w:cs="Arial"/>
          <w:i/>
          <w:caps/>
          <w:color w:val="4F6228" w:themeColor="accent3" w:themeShade="80"/>
          <w:lang w:val="en-GB"/>
        </w:rPr>
        <w:t>Status Quo</w:t>
      </w:r>
      <w:bookmarkEnd w:id="1"/>
      <w:bookmarkEnd w:id="2"/>
      <w:bookmarkEnd w:id="3"/>
    </w:p>
    <w:p w14:paraId="79C2760B" w14:textId="77777777" w:rsidR="005F15D8" w:rsidRDefault="005F15D8" w:rsidP="00105B3E">
      <w:pPr>
        <w:jc w:val="both"/>
      </w:pPr>
      <w:r>
        <w:t>Bevor über das Thema Finanzbildung gesprochen werden kann, muss dieser Begriff zuerst definiert werden. Leider gibt es bisher keine einheitliche Definition, weswegen Finanzbildung – abhängig d</w:t>
      </w:r>
      <w:r>
        <w:t>a</w:t>
      </w:r>
      <w:r>
        <w:t>von, wer den Terminus verwendet – auch auf unterschiedlichste Weise definiert werden kann. Abg</w:t>
      </w:r>
      <w:r>
        <w:t>e</w:t>
      </w:r>
      <w:r>
        <w:t>sehen von einer uneinheitlichen Definition von Finanzbildung gibt es auch einige unterschiedliche Konzepte, die oft mit diesem Begriff gleichgesetzt werden – nicht nur in Österreich:</w:t>
      </w:r>
    </w:p>
    <w:p w14:paraId="34377C08" w14:textId="77777777" w:rsidR="005F15D8" w:rsidRPr="0087583B" w:rsidRDefault="005F15D8" w:rsidP="00105B3E">
      <w:pPr>
        <w:pStyle w:val="Listenabsatz"/>
        <w:numPr>
          <w:ilvl w:val="0"/>
          <w:numId w:val="31"/>
        </w:numPr>
        <w:jc w:val="both"/>
        <w:rPr>
          <w:lang w:val="en-US"/>
        </w:rPr>
      </w:pPr>
      <w:r w:rsidRPr="0087583B">
        <w:rPr>
          <w:lang w:val="en-US"/>
        </w:rPr>
        <w:t xml:space="preserve">„Financial Awareness“ - </w:t>
      </w:r>
      <w:proofErr w:type="spellStart"/>
      <w:r w:rsidRPr="0087583B">
        <w:rPr>
          <w:lang w:val="en-US"/>
        </w:rPr>
        <w:t>Finanzbewusstsein</w:t>
      </w:r>
      <w:proofErr w:type="spellEnd"/>
      <w:r w:rsidRPr="0087583B">
        <w:rPr>
          <w:lang w:val="en-US"/>
        </w:rPr>
        <w:t xml:space="preserve"> (Mason &amp; Wilson, 2000)</w:t>
      </w:r>
    </w:p>
    <w:p w14:paraId="4F9E184C" w14:textId="77777777" w:rsidR="005F15D8" w:rsidRDefault="005F15D8" w:rsidP="00105B3E">
      <w:pPr>
        <w:pStyle w:val="Listenabsatz"/>
        <w:numPr>
          <w:ilvl w:val="0"/>
          <w:numId w:val="31"/>
        </w:numPr>
        <w:jc w:val="both"/>
        <w:rPr>
          <w:lang w:val="en-US"/>
        </w:rPr>
      </w:pPr>
      <w:proofErr w:type="spellStart"/>
      <w:r>
        <w:rPr>
          <w:lang w:val="en-US"/>
        </w:rPr>
        <w:t>Finanzbildung</w:t>
      </w:r>
      <w:proofErr w:type="spellEnd"/>
      <w:r>
        <w:rPr>
          <w:lang w:val="en-US"/>
        </w:rPr>
        <w:t xml:space="preserve"> (G8, 2006)</w:t>
      </w:r>
    </w:p>
    <w:p w14:paraId="7F16E9D5" w14:textId="77777777" w:rsidR="005F15D8" w:rsidRDefault="005F15D8" w:rsidP="00105B3E">
      <w:pPr>
        <w:pStyle w:val="Listenabsatz"/>
        <w:numPr>
          <w:ilvl w:val="0"/>
          <w:numId w:val="31"/>
        </w:numPr>
        <w:jc w:val="both"/>
        <w:rPr>
          <w:lang w:val="en-US"/>
        </w:rPr>
      </w:pPr>
      <w:proofErr w:type="spellStart"/>
      <w:r>
        <w:rPr>
          <w:lang w:val="en-US"/>
        </w:rPr>
        <w:t>Finanzkompetenz</w:t>
      </w:r>
      <w:proofErr w:type="spellEnd"/>
      <w:r>
        <w:rPr>
          <w:lang w:val="en-US"/>
        </w:rPr>
        <w:t xml:space="preserve"> (OECD, 2008)</w:t>
      </w:r>
    </w:p>
    <w:p w14:paraId="2D15827F" w14:textId="77777777" w:rsidR="005F15D8" w:rsidRDefault="005F15D8" w:rsidP="00105B3E">
      <w:pPr>
        <w:pStyle w:val="Listenabsatz"/>
        <w:numPr>
          <w:ilvl w:val="0"/>
          <w:numId w:val="31"/>
        </w:numPr>
        <w:jc w:val="both"/>
        <w:rPr>
          <w:lang w:val="en-US"/>
        </w:rPr>
      </w:pPr>
      <w:r>
        <w:rPr>
          <w:lang w:val="en-US"/>
        </w:rPr>
        <w:t>“Financial Citizenship” (Citizenship Foundation, 2002)</w:t>
      </w:r>
    </w:p>
    <w:p w14:paraId="2D3C0E31" w14:textId="77777777" w:rsidR="005F15D8" w:rsidRDefault="005F15D8" w:rsidP="00105B3E">
      <w:pPr>
        <w:jc w:val="both"/>
      </w:pPr>
      <w:r w:rsidRPr="000C2830">
        <w:t xml:space="preserve">Obwohl sich diese Einrichtungen auf verschiedene Ziele konzentrieren, geht es immer um dasselbe Thema: die Stärkung der Finanzkompetenz der Bevölkerung. </w:t>
      </w:r>
      <w:r>
        <w:t>Die Österreichische Nationalbank (OeNB) verfolgt beispielsweise vier unterschiedliche Herangehensweisen im Hinblick auf die Förd</w:t>
      </w:r>
      <w:r>
        <w:t>e</w:t>
      </w:r>
      <w:r>
        <w:t>rung der Finanzkompetenz, die auf der britischen Finanzmarktaufsichtsbehörde basieren. Diese u</w:t>
      </w:r>
      <w:r>
        <w:t>m</w:t>
      </w:r>
      <w:r>
        <w:t>fassen die folgenden Themenbereiche:</w:t>
      </w:r>
    </w:p>
    <w:p w14:paraId="73F92F49" w14:textId="77777777" w:rsidR="005F15D8" w:rsidRDefault="005F15D8" w:rsidP="00105B3E">
      <w:pPr>
        <w:pStyle w:val="Listenabsatz"/>
        <w:numPr>
          <w:ilvl w:val="0"/>
          <w:numId w:val="32"/>
        </w:numPr>
        <w:jc w:val="both"/>
      </w:pPr>
      <w:r>
        <w:t>Verwaltung von Geldmitteln</w:t>
      </w:r>
    </w:p>
    <w:p w14:paraId="3997FA48" w14:textId="77777777" w:rsidR="005F15D8" w:rsidRDefault="005F15D8" w:rsidP="00105B3E">
      <w:pPr>
        <w:pStyle w:val="Listenabsatz"/>
        <w:numPr>
          <w:ilvl w:val="0"/>
          <w:numId w:val="32"/>
        </w:numPr>
        <w:jc w:val="both"/>
      </w:pPr>
      <w:r>
        <w:t>Vorausschauende Planung</w:t>
      </w:r>
    </w:p>
    <w:p w14:paraId="59465B1E" w14:textId="77777777" w:rsidR="005F15D8" w:rsidRDefault="005F15D8" w:rsidP="00105B3E">
      <w:pPr>
        <w:pStyle w:val="Listenabsatz"/>
        <w:numPr>
          <w:ilvl w:val="0"/>
          <w:numId w:val="33"/>
        </w:numPr>
        <w:jc w:val="both"/>
      </w:pPr>
      <w:r>
        <w:t>Entscheidungsfindung/Auswahl von Produkten</w:t>
      </w:r>
    </w:p>
    <w:p w14:paraId="7B227C57" w14:textId="77777777" w:rsidR="005F15D8" w:rsidRDefault="005F15D8" w:rsidP="00105B3E">
      <w:pPr>
        <w:pStyle w:val="Listenabsatz"/>
        <w:numPr>
          <w:ilvl w:val="0"/>
          <w:numId w:val="33"/>
        </w:numPr>
        <w:jc w:val="both"/>
      </w:pPr>
      <w:r>
        <w:t>Hilfestellung/durchgehende Information</w:t>
      </w:r>
    </w:p>
    <w:p w14:paraId="75090BC4" w14:textId="77777777" w:rsidR="005F15D8" w:rsidRDefault="005F15D8" w:rsidP="00105B3E">
      <w:pPr>
        <w:jc w:val="both"/>
      </w:pPr>
      <w:r>
        <w:t>In diesem Projekt kommt das Modell von Friebel und Kaminski zur Anwendung, das in etwa dieselben Aspekte behandelt. Zusätzlich gibt es noch weitere Begriffe, die vor allem in Österreich zur Diskussion zum Thema Finanzbildung herangezogen, aber auf verschiedene Art und Weise verwendet werden, wie zum Beispiel der Terminus Verbraucherbildung.  Initiativen, die im Bereich Verbraucherschutz eingeführt wurden, beschäftigen sich mit denselben Themenschwerpunkten wie die Finanzbildung. Dabei handelt es sich um:</w:t>
      </w:r>
    </w:p>
    <w:p w14:paraId="77154946" w14:textId="77777777" w:rsidR="005F15D8" w:rsidRDefault="005F15D8" w:rsidP="00105B3E">
      <w:pPr>
        <w:pStyle w:val="Listenabsatz"/>
        <w:numPr>
          <w:ilvl w:val="0"/>
          <w:numId w:val="34"/>
        </w:numPr>
        <w:jc w:val="both"/>
      </w:pPr>
      <w:r>
        <w:t>Geld</w:t>
      </w:r>
    </w:p>
    <w:p w14:paraId="06A8F200" w14:textId="77777777" w:rsidR="005F15D8" w:rsidRDefault="005F15D8" w:rsidP="00105B3E">
      <w:pPr>
        <w:pStyle w:val="Listenabsatz"/>
        <w:numPr>
          <w:ilvl w:val="0"/>
          <w:numId w:val="34"/>
        </w:numPr>
        <w:jc w:val="both"/>
      </w:pPr>
      <w:r>
        <w:t>Versicherung</w:t>
      </w:r>
    </w:p>
    <w:p w14:paraId="1A58AF50" w14:textId="77777777" w:rsidR="005F15D8" w:rsidRDefault="005F15D8" w:rsidP="00105B3E">
      <w:pPr>
        <w:pStyle w:val="Listenabsatz"/>
        <w:numPr>
          <w:ilvl w:val="0"/>
          <w:numId w:val="34"/>
        </w:numPr>
        <w:jc w:val="both"/>
      </w:pPr>
      <w:r>
        <w:t>Schulden</w:t>
      </w:r>
    </w:p>
    <w:p w14:paraId="574A4436" w14:textId="77777777" w:rsidR="005F15D8" w:rsidRDefault="005F15D8" w:rsidP="00105B3E">
      <w:pPr>
        <w:pStyle w:val="Listenabsatz"/>
        <w:numPr>
          <w:ilvl w:val="0"/>
          <w:numId w:val="34"/>
        </w:numPr>
        <w:jc w:val="both"/>
      </w:pPr>
      <w:r>
        <w:t>Vermögensverwaltung</w:t>
      </w:r>
    </w:p>
    <w:p w14:paraId="5727B5A4" w14:textId="77777777" w:rsidR="005F15D8" w:rsidRDefault="005F15D8" w:rsidP="00105B3E">
      <w:pPr>
        <w:jc w:val="both"/>
      </w:pPr>
      <w:r>
        <w:t>Im Allgemeinen führt die Vielfalt der unterschiedlichen Definitionen und Begriffe nicht zu Schwieri</w:t>
      </w:r>
      <w:r>
        <w:t>g</w:t>
      </w:r>
      <w:r>
        <w:t>keiten, da sich jede Initiative positiv auf die österreichische Bevölkerung auswirkt. Jedoch muss es ein Bewusstsein dafür geben, dass es Unterschiede zwischen Finanzbildung und z.B. Verbraucherbildung hinsichtlich der behandelten Themen gibt.</w:t>
      </w:r>
    </w:p>
    <w:p w14:paraId="29702F3E" w14:textId="77777777" w:rsidR="005F15D8" w:rsidRDefault="005F15D8" w:rsidP="00105B3E">
      <w:pPr>
        <w:jc w:val="both"/>
      </w:pPr>
      <w:r>
        <w:t>In Österreich ist das Ministerium für Unterricht, Kunst und Kultur für alle bildungsbezogenen Fragen verantwortlich; das Ministerium für Arbeit, Soziales und Konsumentenschutz beschäftigt sich mit der Finanzbildung. Darüber hinaus fördern zahlreiche Institutionen die Finanzbildung für Schüler und Schülerinnen auf unterschiedliche Art und Weise, wie die Österreichische Nationalbank, die Arbeite</w:t>
      </w:r>
      <w:r>
        <w:t>r</w:t>
      </w:r>
      <w:r>
        <w:t>kammer, die Wirtschaftskammer, Schuldnerberatungen, Banken, Versicherungsanstalten und Vers</w:t>
      </w:r>
      <w:r>
        <w:t>i</w:t>
      </w:r>
      <w:r>
        <w:t>cherungsgesellschaften sowie private Bildungsunternehmen wie finanzportal.at, die den €uro-Finanzführerschein anbieten. Die Hauptzielgruppe all dieser Bestrebungen sind Schüler und Schül</w:t>
      </w:r>
      <w:r>
        <w:t>e</w:t>
      </w:r>
      <w:r>
        <w:t>rinnen aller Altersgruppen; diese beginnen bereits in der Volkschule mit der Durchführung einfacher Workshops und Spiele. Einige Initiativen stellen außerdem Lehrmaterialien für Lehrer und Lehreri</w:t>
      </w:r>
      <w:r>
        <w:t>n</w:t>
      </w:r>
      <w:r>
        <w:t>nen zur Verfügung, die im Unterricht zum Einsatz kommen können. Bedauerlicherweise gibt es bisher keine Initiativen, die Lehrer und Lehrerinnen direkt beim Unterrichten von Finanzbildung unterstü</w:t>
      </w:r>
      <w:r>
        <w:t>t</w:t>
      </w:r>
      <w:r>
        <w:t>zen, z.B. durch das Anbieten von Workshops als Weiterbildungsmaßnahme für Lehrer und Lehreri</w:t>
      </w:r>
      <w:r>
        <w:t>n</w:t>
      </w:r>
      <w:r>
        <w:t>nen; hierbei handelt es sich um das zentrale Ziel dieses Projekts.</w:t>
      </w:r>
    </w:p>
    <w:p w14:paraId="4FD12F1F" w14:textId="77777777" w:rsidR="005F15D8" w:rsidRDefault="005F15D8" w:rsidP="00105B3E">
      <w:pPr>
        <w:jc w:val="both"/>
      </w:pPr>
      <w:r>
        <w:t>Entsprechende Studien zeigen, dass die österreichische Bevölkerung – Schüler/Schülerinnen, aber auch Erwachsene –eine mangelhafte Bildung im Bereich der Finanzdienstleistungen und verwandten Themengebieten aufweist. Die Ergebnisse, die 2012 vom Versicherungsverband Österreich (VVO) veröffentlicht wurden, zeigen auf, dass es sich bei der Finanzbildung um ein Thema handelt, das von der österreichischen Bevölkerung abverlangt wird, es aber nicht Teil der Allgemeinbildung in weite</w:t>
      </w:r>
      <w:r>
        <w:t>r</w:t>
      </w:r>
      <w:r>
        <w:t>führenden Schulen ist.</w:t>
      </w:r>
    </w:p>
    <w:p w14:paraId="7DEA2C64" w14:textId="77777777" w:rsidR="005F15D8" w:rsidRDefault="005F15D8" w:rsidP="00105B3E">
      <w:pPr>
        <w:jc w:val="both"/>
      </w:pPr>
      <w:r>
        <w:t>Diese Studie zeigt, dass nur 4% von 200 befragten Schülern und Schülerinnen zwischen 14 und 21 Jahren und 17% von 301 befragten Erwachsenen (älter als 20 Jahre) sich den Risiken von Finanzpr</w:t>
      </w:r>
      <w:r>
        <w:t>o</w:t>
      </w:r>
      <w:r>
        <w:t>dukten bewusst sind. Dieser Bildungsmangel rührt von einer zunehmenden Vielfalt am Finanzmarkt sowie von abnehmender Bildung in allgemeinbildenden Schulen her. Besonders im Hinblick auf das Thema „Versicherung“ innerhalb der Finanzbildung sind die Ergebnisse besorgniserregend – der A</w:t>
      </w:r>
      <w:r>
        <w:t>b</w:t>
      </w:r>
      <w:r>
        <w:t>stand zwischen Nachfrage und Angebot hinsichtlich Finanzbildung ist groß, wie in der folgenden A</w:t>
      </w:r>
      <w:r>
        <w:t>b</w:t>
      </w:r>
      <w:r>
        <w:t>bildung ersichtlich ist:</w:t>
      </w:r>
    </w:p>
    <w:p w14:paraId="1BB6063F" w14:textId="77777777" w:rsidR="005F15D8" w:rsidRDefault="005F15D8" w:rsidP="005F15D8">
      <w:r>
        <w:rPr>
          <w:noProof/>
          <w:lang w:eastAsia="de-AT"/>
        </w:rPr>
        <w:drawing>
          <wp:inline distT="0" distB="0" distL="0" distR="0" wp14:anchorId="47D11282" wp14:editId="3ABFDFAA">
            <wp:extent cx="2847975" cy="2266950"/>
            <wp:effectExtent l="0" t="0" r="9525" b="1905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de-AT"/>
        </w:rPr>
        <w:drawing>
          <wp:inline distT="0" distB="0" distL="0" distR="0" wp14:anchorId="6DF45FCF" wp14:editId="530C8D59">
            <wp:extent cx="2847975" cy="2266950"/>
            <wp:effectExtent l="0" t="0" r="9525" b="1905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1A536A" w14:textId="77777777" w:rsidR="005F15D8" w:rsidRDefault="005F15D8" w:rsidP="005F15D8">
      <w:r>
        <w:t>Abbildung 1: Quelle: VVO, Versicherungswissen bei Jugendlichen und Erwachsenen, 2012</w:t>
      </w:r>
    </w:p>
    <w:p w14:paraId="59FEC9A5" w14:textId="77777777" w:rsidR="005F15D8" w:rsidRDefault="005F15D8" w:rsidP="00105B3E">
      <w:pPr>
        <w:jc w:val="both"/>
      </w:pPr>
      <w:r>
        <w:t>Des Weiteren wurden die Rechenfähigkeiten der Schüler und Schülerinnen getestet. Dazu wurde die folgende Fragestellung herangezogen:</w:t>
      </w:r>
    </w:p>
    <w:p w14:paraId="1E8AAB5D" w14:textId="77777777" w:rsidR="005F15D8" w:rsidRDefault="005F15D8" w:rsidP="00105B3E">
      <w:pPr>
        <w:jc w:val="both"/>
      </w:pPr>
      <w:r>
        <w:t xml:space="preserve">„Wenn Sie 100 Euro zu einem Zinssatz von 4% anlegen, wie viel haben Sie nach einem Jahr?“ </w:t>
      </w:r>
      <w:r>
        <w:sym w:font="Wingdings" w:char="F0E0"/>
      </w:r>
      <w:r>
        <w:t xml:space="preserve"> Nur 6% der befragten Schüler und Schülerinnen gaben die korrekte Antwort. Dies ist ein weiterer Aspekt innerhalb des Bildungssystems, der behandelt werden sollte. Aufgrund der mangelhaften Finanzbi</w:t>
      </w:r>
      <w:r>
        <w:t>l</w:t>
      </w:r>
      <w:r>
        <w:t>dung in den weiterführenden Schulen in Österreich arbeiten die entsprechenden Ministerien an ve</w:t>
      </w:r>
      <w:r>
        <w:t>r</w:t>
      </w:r>
      <w:r>
        <w:t>schiedenen Initiativen und Förderungsinitiativen, die von anderen Organisationen eingeführt wu</w:t>
      </w:r>
      <w:r>
        <w:t>r</w:t>
      </w:r>
      <w:r>
        <w:t>den, um die Finanzbildung zu stärken und das Finanzwissen der österreichischen Schüler und Schül</w:t>
      </w:r>
      <w:r>
        <w:t>e</w:t>
      </w:r>
      <w:r>
        <w:t>rinnen zu verbessern.</w:t>
      </w:r>
    </w:p>
    <w:p w14:paraId="5CE0BECA" w14:textId="02220306" w:rsidR="005F15D8" w:rsidRDefault="005F15D8" w:rsidP="00105B3E">
      <w:pPr>
        <w:jc w:val="both"/>
      </w:pPr>
      <w:r>
        <w:t>Eine Initiative, die vom Ministerium für Unterricht, Kunst und Kultur gefördert wird, ist der €uro F</w:t>
      </w:r>
      <w:r>
        <w:t>i</w:t>
      </w:r>
      <w:r>
        <w:t>nanzführerschein (€FDL), der von der Organisation finanzportal.at ins Leben gerufen wurde. Die Zie</w:t>
      </w:r>
      <w:r>
        <w:t>l</w:t>
      </w:r>
      <w:r>
        <w:t>gruppen dieser Initiativen sind Schüler/Schülerinnen und Erwachsene, aber auch Lehrer und Lehr</w:t>
      </w:r>
      <w:r>
        <w:t>e</w:t>
      </w:r>
      <w:r>
        <w:t>rinnen können von den auf der Webeseite angebotenen Inhalten profitieren. Diese konzentrieren sich auf die vier Kernthemen der Finanzbildung: Umgang mit Geld, Umgang mit Lebensrisiken, Anl</w:t>
      </w:r>
      <w:r>
        <w:t>a</w:t>
      </w:r>
      <w:r>
        <w:t>ge- und Ruhestandsmöglichkeiten, Nutzung von Krediten.</w:t>
      </w:r>
    </w:p>
    <w:p w14:paraId="7BC4257D" w14:textId="77777777" w:rsidR="005F15D8" w:rsidRDefault="005F15D8" w:rsidP="00105B3E">
      <w:pPr>
        <w:jc w:val="both"/>
      </w:pPr>
      <w:r>
        <w:t>Des Weiteren startete das Ministerium für Arbeit, Soziales und Konsumentenschutz eine Initiative zur Stärkung der Konsumentenbildung. Auf dessen Webseite finanzbildung.bmask.gv.at werden Finan</w:t>
      </w:r>
      <w:r>
        <w:t>z</w:t>
      </w:r>
      <w:r>
        <w:t>dienstleistungen für ein breites Publikum erläutert, der Schwerpunkt liegt nicht unbedingt nur auf Schülern und Schülerinnen. Die dort aufbereiteten und veröffentlichten Inhalte umfassen die Th</w:t>
      </w:r>
      <w:r>
        <w:t>e</w:t>
      </w:r>
      <w:r>
        <w:t>men Geldanlage, Finanzierung und Versicherung. Die Inhalte sind in grundlegende und vertiefende Informationen unterteilt. Zusätzlich hat das Ministerium ein Portal für Lehrer und Lehrerinnen an Volksschulen und weiterführenden Schulen (Schulstufen 8, 9, 10 und 12) eingerichtet, auf dem Leh</w:t>
      </w:r>
      <w:r>
        <w:t>r</w:t>
      </w:r>
      <w:r>
        <w:t>unterlagen für die unten genannten Themenbereiche zur Verfügung gestellt sind:</w:t>
      </w:r>
    </w:p>
    <w:p w14:paraId="2EDF16F6" w14:textId="77777777" w:rsidR="005F15D8" w:rsidRDefault="005F15D8" w:rsidP="00105B3E">
      <w:pPr>
        <w:pStyle w:val="Listenabsatz"/>
        <w:numPr>
          <w:ilvl w:val="0"/>
          <w:numId w:val="35"/>
        </w:numPr>
        <w:jc w:val="both"/>
      </w:pPr>
      <w:r>
        <w:t>Konsum</w:t>
      </w:r>
    </w:p>
    <w:p w14:paraId="3F809A15" w14:textId="77777777" w:rsidR="005F15D8" w:rsidRDefault="005F15D8" w:rsidP="00105B3E">
      <w:pPr>
        <w:pStyle w:val="Listenabsatz"/>
        <w:numPr>
          <w:ilvl w:val="0"/>
          <w:numId w:val="35"/>
        </w:numPr>
        <w:jc w:val="both"/>
      </w:pPr>
      <w:r>
        <w:t>Mobilität</w:t>
      </w:r>
    </w:p>
    <w:p w14:paraId="43A3F2BE" w14:textId="77777777" w:rsidR="005F15D8" w:rsidRDefault="005F15D8" w:rsidP="00105B3E">
      <w:pPr>
        <w:pStyle w:val="Listenabsatz"/>
        <w:numPr>
          <w:ilvl w:val="0"/>
          <w:numId w:val="35"/>
        </w:numPr>
        <w:jc w:val="both"/>
      </w:pPr>
      <w:r>
        <w:t>Neue Technologien</w:t>
      </w:r>
    </w:p>
    <w:p w14:paraId="03A43812" w14:textId="77777777" w:rsidR="005F15D8" w:rsidRDefault="005F15D8" w:rsidP="00105B3E">
      <w:pPr>
        <w:pStyle w:val="Listenabsatz"/>
        <w:numPr>
          <w:ilvl w:val="0"/>
          <w:numId w:val="35"/>
        </w:numPr>
        <w:jc w:val="both"/>
      </w:pPr>
      <w:r>
        <w:t>Geldmittelverwaltung</w:t>
      </w:r>
    </w:p>
    <w:p w14:paraId="4E07C43C" w14:textId="77777777" w:rsidR="005F15D8" w:rsidRDefault="005F15D8" w:rsidP="00105B3E">
      <w:pPr>
        <w:pStyle w:val="Listenabsatz"/>
        <w:numPr>
          <w:ilvl w:val="0"/>
          <w:numId w:val="35"/>
        </w:numPr>
        <w:jc w:val="both"/>
      </w:pPr>
      <w:r>
        <w:t>Lebenskosten und Lebensplanung</w:t>
      </w:r>
    </w:p>
    <w:p w14:paraId="1B000665" w14:textId="77777777" w:rsidR="005F15D8" w:rsidRDefault="005F15D8" w:rsidP="00105B3E">
      <w:pPr>
        <w:pStyle w:val="Listenabsatz"/>
        <w:numPr>
          <w:ilvl w:val="0"/>
          <w:numId w:val="35"/>
        </w:numPr>
        <w:jc w:val="both"/>
      </w:pPr>
      <w:r>
        <w:t>Schulden/Kredite</w:t>
      </w:r>
    </w:p>
    <w:p w14:paraId="1079AEFA" w14:textId="6DDAA39E" w:rsidR="00DC36D6" w:rsidRPr="005F15D8" w:rsidRDefault="005F15D8" w:rsidP="00105B3E">
      <w:pPr>
        <w:jc w:val="both"/>
      </w:pPr>
      <w:r>
        <w:t>Jedoch gibt es in Österreich noch zahlreiche weitere Initiativen – nicht nur jene von staatlichen Ei</w:t>
      </w:r>
      <w:r>
        <w:t>n</w:t>
      </w:r>
      <w:r>
        <w:t>richtungen. Diese werden im nächsten Abschnitt umrissen und kurz vorgestellt. Die meisten dieser Initiativen konzentrieren sich auf Schüler und Schülerinnen, damit die junge Generation bestmöglich auf zukünftige Herausforderungen, mit denen sie am Finanzmarkt konfrontiert wird, vorbereitet werden kann.</w:t>
      </w:r>
    </w:p>
    <w:p w14:paraId="273A6F0F" w14:textId="157F041B" w:rsidR="00DC36D6" w:rsidRPr="00FA3808" w:rsidRDefault="005F15D8" w:rsidP="00105B3E">
      <w:pPr>
        <w:pStyle w:val="berschrift2"/>
        <w:numPr>
          <w:ilvl w:val="1"/>
          <w:numId w:val="18"/>
        </w:numPr>
        <w:spacing w:before="240" w:after="120" w:line="240" w:lineRule="auto"/>
        <w:ind w:left="578" w:hanging="578"/>
        <w:jc w:val="both"/>
        <w:rPr>
          <w:rFonts w:ascii="Arial" w:hAnsi="Arial" w:cs="Arial"/>
          <w:i/>
          <w:caps/>
          <w:color w:val="4F6228" w:themeColor="accent3" w:themeShade="80"/>
          <w:lang w:val="en-GB"/>
        </w:rPr>
      </w:pPr>
      <w:bookmarkStart w:id="4" w:name="_Toc373498152"/>
      <w:r>
        <w:rPr>
          <w:rFonts w:ascii="Arial" w:hAnsi="Arial" w:cs="Arial"/>
          <w:i/>
          <w:caps/>
          <w:color w:val="4F6228" w:themeColor="accent3" w:themeShade="80"/>
          <w:lang w:val="en-GB"/>
        </w:rPr>
        <w:t>Einrichtungen und schulen</w:t>
      </w:r>
      <w:bookmarkEnd w:id="4"/>
      <w:r>
        <w:rPr>
          <w:rFonts w:ascii="Arial" w:hAnsi="Arial" w:cs="Arial"/>
          <w:i/>
          <w:caps/>
          <w:color w:val="4F6228" w:themeColor="accent3" w:themeShade="80"/>
          <w:lang w:val="en-GB"/>
        </w:rPr>
        <w:t xml:space="preserve"> </w:t>
      </w:r>
    </w:p>
    <w:p w14:paraId="34190991" w14:textId="77777777" w:rsidR="005F15D8" w:rsidRDefault="005F15D8" w:rsidP="00105B3E">
      <w:pPr>
        <w:jc w:val="both"/>
      </w:pPr>
      <w:r w:rsidRPr="006578E5">
        <w:t>Neben den betreffenden Ministerien gibt es auch eine Reihe anderer Organisationen – meist private Einrichtungen, die durch öffentliche Organisationen gefördert werden – die sich mit der Bereitste</w:t>
      </w:r>
      <w:r w:rsidRPr="006578E5">
        <w:t>l</w:t>
      </w:r>
      <w:r w:rsidRPr="006578E5">
        <w:t>lung von Finanzbildung befassen. Besonders häufig handelt es sich hierbei um Webseiten, die Info</w:t>
      </w:r>
      <w:r w:rsidRPr="006578E5">
        <w:t>r</w:t>
      </w:r>
      <w:r w:rsidRPr="006578E5">
        <w:t>mationsmaterialien zu bestimmten Themen zur Verfügung stellen, die von Lehrern und Lehrerinnen zur Unterrichtsaufbereitung genutzt werden können. Andere Webseiten bieten sogar umfassende, vollständig aufbereitete Materialien, wie Informationsblätter, Tests und Videos, an. Des Weiteren werden auch altersgruppenspezifische Workshops für Schulklassen veranstaltet, die darauf abzielen, den Schülern und Schülerinnen das nötige Wissen zu aktuellen Finanzthemen zu vermitteln. Natü</w:t>
      </w:r>
      <w:r w:rsidRPr="006578E5">
        <w:t>r</w:t>
      </w:r>
      <w:r w:rsidRPr="006578E5">
        <w:t xml:space="preserve">lich gibt es auch Schulen, deren Lehrpläne Finanzbildung beinhaltet. Einige Handelsschulen – 2. </w:t>
      </w:r>
      <w:r>
        <w:t>A</w:t>
      </w:r>
      <w:r>
        <w:t>b</w:t>
      </w:r>
      <w:r>
        <w:t>schnitt</w:t>
      </w:r>
      <w:r w:rsidRPr="006578E5">
        <w:t xml:space="preserve"> der höheren Bildung – lehren Finanzkompetenz intensiv. Leider sind diese Kompetenzen au</w:t>
      </w:r>
      <w:r w:rsidRPr="006578E5">
        <w:t>s</w:t>
      </w:r>
      <w:r w:rsidRPr="006578E5">
        <w:t>schließlich in die Lehrpläne dieser Schulen integriert und sind nicht Teil der Lehrpläne allgemeinbi</w:t>
      </w:r>
      <w:r w:rsidRPr="006578E5">
        <w:t>l</w:t>
      </w:r>
      <w:r w:rsidRPr="006578E5">
        <w:t xml:space="preserve">dender, höherer Schulen. Aus diesem Grund zielt das Konsortium dieses Projekts </w:t>
      </w:r>
      <w:r>
        <w:t>darauf ab</w:t>
      </w:r>
      <w:r w:rsidRPr="006578E5">
        <w:t xml:space="preserve">, </w:t>
      </w:r>
      <w:r>
        <w:t>die Le</w:t>
      </w:r>
      <w:r>
        <w:t>h</w:t>
      </w:r>
      <w:r>
        <w:t>rer</w:t>
      </w:r>
      <w:r w:rsidRPr="006578E5">
        <w:t xml:space="preserve"> und Lehrerinnen dieser Schulen dabei zu unterstützen, die bestehenden Inhalte der Lehrpläne zu nutzen, um den Schülern und Schülerinnen auch Finanzkompetenzen näherzubringen.</w:t>
      </w:r>
    </w:p>
    <w:p w14:paraId="36A36DAD" w14:textId="507D0D28" w:rsidR="005F15D8" w:rsidRPr="00F35B2A" w:rsidRDefault="005F15D8" w:rsidP="00F35B2A">
      <w:pPr>
        <w:pStyle w:val="berschrift3"/>
        <w:numPr>
          <w:ilvl w:val="2"/>
          <w:numId w:val="18"/>
        </w:numPr>
        <w:spacing w:before="240" w:after="120" w:line="240" w:lineRule="auto"/>
        <w:jc w:val="both"/>
        <w:rPr>
          <w:rFonts w:ascii="Arial" w:hAnsi="Arial" w:cs="Arial"/>
          <w:i/>
          <w:color w:val="auto"/>
          <w:sz w:val="24"/>
        </w:rPr>
      </w:pPr>
      <w:r w:rsidRPr="00F35B2A">
        <w:rPr>
          <w:rFonts w:ascii="Arial" w:hAnsi="Arial" w:cs="Arial"/>
          <w:i/>
          <w:color w:val="auto"/>
          <w:sz w:val="24"/>
        </w:rPr>
        <w:t xml:space="preserve"> </w:t>
      </w:r>
      <w:bookmarkStart w:id="5" w:name="_Toc373498153"/>
      <w:r w:rsidRPr="00F35B2A">
        <w:rPr>
          <w:rFonts w:ascii="Arial" w:hAnsi="Arial" w:cs="Arial"/>
          <w:i/>
          <w:color w:val="auto"/>
          <w:sz w:val="24"/>
        </w:rPr>
        <w:t>Überblick über das Schulsystem</w:t>
      </w:r>
      <w:bookmarkEnd w:id="5"/>
    </w:p>
    <w:p w14:paraId="165463B0" w14:textId="77777777" w:rsidR="005F15D8" w:rsidRDefault="005F15D8" w:rsidP="00105B3E">
      <w:pPr>
        <w:pStyle w:val="Aufzhlungszeichen"/>
        <w:numPr>
          <w:ilvl w:val="0"/>
          <w:numId w:val="0"/>
        </w:numPr>
        <w:jc w:val="both"/>
      </w:pPr>
      <w:r>
        <w:t>Das österreichische Schulsystem ist vielseitig. Schüler und Schülerinnen steht eine umfassende Au</w:t>
      </w:r>
      <w:r>
        <w:t>s</w:t>
      </w:r>
      <w:r>
        <w:t>wahl an verschiedenen Schulformen zur Verfügung. Unabhängig davon, für welchen Weg sich ein Schüler/eine Schülerin entscheidet, beträgt die Schulpflicht in Österreich immer 9 Jahre. Die folgende Abbildung stellt das System dar:</w:t>
      </w:r>
    </w:p>
    <w:p w14:paraId="3E810DDC" w14:textId="77777777" w:rsidR="005F15D8" w:rsidRDefault="005F15D8" w:rsidP="005F15D8">
      <w:pPr>
        <w:pStyle w:val="Aufzhlungszeichen"/>
        <w:numPr>
          <w:ilvl w:val="0"/>
          <w:numId w:val="0"/>
        </w:num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869"/>
        <w:gridCol w:w="1744"/>
        <w:gridCol w:w="1744"/>
        <w:gridCol w:w="1558"/>
        <w:gridCol w:w="1478"/>
      </w:tblGrid>
      <w:tr w:rsidR="005F15D8" w:rsidRPr="008727C1" w14:paraId="36080815" w14:textId="77777777" w:rsidTr="00154A95">
        <w:tc>
          <w:tcPr>
            <w:tcW w:w="1613" w:type="dxa"/>
            <w:shd w:val="clear" w:color="auto" w:fill="FFFF00"/>
          </w:tcPr>
          <w:p w14:paraId="77FD903A" w14:textId="77777777" w:rsidR="005F15D8" w:rsidRPr="008727C1" w:rsidRDefault="005F15D8" w:rsidP="00154A95">
            <w:pPr>
              <w:pStyle w:val="Aufzhlungszeichen"/>
              <w:numPr>
                <w:ilvl w:val="0"/>
                <w:numId w:val="0"/>
              </w:numPr>
              <w:rPr>
                <w:b/>
              </w:rPr>
            </w:pPr>
            <w:r w:rsidRPr="008727C1">
              <w:rPr>
                <w:b/>
              </w:rPr>
              <w:t>MINDESTALTER</w:t>
            </w:r>
          </w:p>
        </w:tc>
        <w:tc>
          <w:tcPr>
            <w:tcW w:w="6318" w:type="dxa"/>
            <w:gridSpan w:val="4"/>
            <w:shd w:val="clear" w:color="auto" w:fill="FFFF00"/>
          </w:tcPr>
          <w:p w14:paraId="55930312" w14:textId="77777777" w:rsidR="005F15D8" w:rsidRPr="008727C1" w:rsidRDefault="005F15D8" w:rsidP="00154A95">
            <w:pPr>
              <w:pStyle w:val="Aufzhlungszeichen"/>
              <w:numPr>
                <w:ilvl w:val="0"/>
                <w:numId w:val="0"/>
              </w:numPr>
              <w:rPr>
                <w:b/>
              </w:rPr>
            </w:pPr>
          </w:p>
        </w:tc>
        <w:tc>
          <w:tcPr>
            <w:tcW w:w="2100" w:type="dxa"/>
            <w:shd w:val="clear" w:color="auto" w:fill="FFFF00"/>
          </w:tcPr>
          <w:p w14:paraId="03E9A914" w14:textId="77777777" w:rsidR="005F15D8" w:rsidRPr="008727C1" w:rsidRDefault="005F15D8" w:rsidP="00154A95">
            <w:pPr>
              <w:pStyle w:val="Aufzhlungszeichen"/>
              <w:numPr>
                <w:ilvl w:val="0"/>
                <w:numId w:val="0"/>
              </w:numPr>
              <w:rPr>
                <w:b/>
              </w:rPr>
            </w:pPr>
            <w:r w:rsidRPr="008727C1">
              <w:rPr>
                <w:b/>
              </w:rPr>
              <w:t>SCHULSTUFE</w:t>
            </w:r>
          </w:p>
        </w:tc>
      </w:tr>
      <w:tr w:rsidR="005F15D8" w:rsidRPr="009752D4" w14:paraId="4D219510" w14:textId="77777777" w:rsidTr="00154A95">
        <w:tc>
          <w:tcPr>
            <w:tcW w:w="1613" w:type="dxa"/>
            <w:vAlign w:val="center"/>
          </w:tcPr>
          <w:p w14:paraId="6D2AE0B9" w14:textId="77777777" w:rsidR="005F15D8" w:rsidRPr="009752D4" w:rsidRDefault="005F15D8" w:rsidP="00154A95">
            <w:pPr>
              <w:pStyle w:val="Aufzhlungszeichen"/>
              <w:numPr>
                <w:ilvl w:val="0"/>
                <w:numId w:val="0"/>
              </w:numPr>
              <w:jc w:val="center"/>
              <w:rPr>
                <w:b/>
              </w:rPr>
            </w:pPr>
          </w:p>
        </w:tc>
        <w:tc>
          <w:tcPr>
            <w:tcW w:w="1841" w:type="dxa"/>
            <w:vMerge w:val="restart"/>
            <w:vAlign w:val="center"/>
          </w:tcPr>
          <w:p w14:paraId="20FC03E8" w14:textId="77777777" w:rsidR="005F15D8" w:rsidRPr="009752D4" w:rsidRDefault="005F15D8" w:rsidP="00154A95">
            <w:pPr>
              <w:pStyle w:val="Aufzhlungszeichen"/>
              <w:numPr>
                <w:ilvl w:val="0"/>
                <w:numId w:val="0"/>
              </w:numPr>
              <w:jc w:val="center"/>
              <w:rPr>
                <w:b/>
              </w:rPr>
            </w:pPr>
            <w:r w:rsidRPr="009752D4">
              <w:rPr>
                <w:b/>
              </w:rPr>
              <w:t>Universität</w:t>
            </w:r>
          </w:p>
        </w:tc>
        <w:tc>
          <w:tcPr>
            <w:tcW w:w="1718" w:type="dxa"/>
            <w:vAlign w:val="center"/>
          </w:tcPr>
          <w:p w14:paraId="7F2EA7EE" w14:textId="77777777" w:rsidR="005F15D8" w:rsidRPr="009752D4" w:rsidRDefault="005F15D8" w:rsidP="00154A95">
            <w:pPr>
              <w:pStyle w:val="Aufzhlungszeichen"/>
              <w:numPr>
                <w:ilvl w:val="0"/>
                <w:numId w:val="0"/>
              </w:numPr>
              <w:jc w:val="center"/>
              <w:rPr>
                <w:b/>
              </w:rPr>
            </w:pPr>
          </w:p>
        </w:tc>
        <w:tc>
          <w:tcPr>
            <w:tcW w:w="1638" w:type="dxa"/>
            <w:vMerge w:val="restart"/>
            <w:vAlign w:val="center"/>
          </w:tcPr>
          <w:p w14:paraId="3BED4EB2" w14:textId="77777777" w:rsidR="005F15D8" w:rsidRPr="009752D4" w:rsidRDefault="005F15D8" w:rsidP="00154A95">
            <w:pPr>
              <w:pStyle w:val="Aufzhlungszeichen"/>
              <w:numPr>
                <w:ilvl w:val="0"/>
                <w:numId w:val="0"/>
              </w:numPr>
              <w:jc w:val="center"/>
              <w:rPr>
                <w:b/>
              </w:rPr>
            </w:pPr>
            <w:r w:rsidRPr="009752D4">
              <w:rPr>
                <w:b/>
              </w:rPr>
              <w:t>Fachhochschule</w:t>
            </w:r>
          </w:p>
        </w:tc>
        <w:tc>
          <w:tcPr>
            <w:tcW w:w="1121" w:type="dxa"/>
            <w:vMerge w:val="restart"/>
            <w:vAlign w:val="center"/>
          </w:tcPr>
          <w:p w14:paraId="19F0D876" w14:textId="77777777" w:rsidR="005F15D8" w:rsidRPr="009752D4" w:rsidRDefault="005F15D8" w:rsidP="00154A95">
            <w:pPr>
              <w:pStyle w:val="Aufzhlungszeichen"/>
              <w:numPr>
                <w:ilvl w:val="0"/>
                <w:numId w:val="0"/>
              </w:numPr>
              <w:jc w:val="center"/>
              <w:rPr>
                <w:b/>
              </w:rPr>
            </w:pPr>
            <w:r w:rsidRPr="009752D4">
              <w:rPr>
                <w:b/>
              </w:rPr>
              <w:t>Akademie</w:t>
            </w:r>
          </w:p>
        </w:tc>
        <w:tc>
          <w:tcPr>
            <w:tcW w:w="2100" w:type="dxa"/>
            <w:vAlign w:val="center"/>
          </w:tcPr>
          <w:p w14:paraId="47ACD985" w14:textId="77777777" w:rsidR="005F15D8" w:rsidRPr="009752D4" w:rsidRDefault="005F15D8" w:rsidP="00154A95">
            <w:pPr>
              <w:pStyle w:val="Aufzhlungszeichen"/>
              <w:numPr>
                <w:ilvl w:val="0"/>
                <w:numId w:val="0"/>
              </w:numPr>
              <w:jc w:val="center"/>
              <w:rPr>
                <w:b/>
              </w:rPr>
            </w:pPr>
          </w:p>
        </w:tc>
      </w:tr>
      <w:tr w:rsidR="005F15D8" w14:paraId="5E9475FE" w14:textId="77777777" w:rsidTr="00154A95">
        <w:tc>
          <w:tcPr>
            <w:tcW w:w="1613" w:type="dxa"/>
            <w:shd w:val="clear" w:color="auto" w:fill="7F7F7F" w:themeFill="text1" w:themeFillTint="80"/>
            <w:vAlign w:val="center"/>
          </w:tcPr>
          <w:p w14:paraId="1C60672C" w14:textId="77777777" w:rsidR="005F15D8" w:rsidRDefault="005F15D8" w:rsidP="00154A95">
            <w:pPr>
              <w:pStyle w:val="Aufzhlungszeichen"/>
              <w:numPr>
                <w:ilvl w:val="0"/>
                <w:numId w:val="0"/>
              </w:numPr>
              <w:jc w:val="center"/>
            </w:pPr>
            <w:r>
              <w:t>14 - 19</w:t>
            </w:r>
          </w:p>
        </w:tc>
        <w:tc>
          <w:tcPr>
            <w:tcW w:w="1841" w:type="dxa"/>
            <w:vMerge/>
            <w:vAlign w:val="center"/>
          </w:tcPr>
          <w:p w14:paraId="3962CD17" w14:textId="77777777" w:rsidR="005F15D8" w:rsidRDefault="005F15D8" w:rsidP="00154A95">
            <w:pPr>
              <w:pStyle w:val="Aufzhlungszeichen"/>
              <w:numPr>
                <w:ilvl w:val="0"/>
                <w:numId w:val="0"/>
              </w:numPr>
              <w:jc w:val="center"/>
            </w:pPr>
          </w:p>
        </w:tc>
        <w:tc>
          <w:tcPr>
            <w:tcW w:w="1718" w:type="dxa"/>
            <w:vMerge w:val="restart"/>
            <w:shd w:val="clear" w:color="auto" w:fill="C2D69B" w:themeFill="accent3" w:themeFillTint="99"/>
            <w:vAlign w:val="center"/>
          </w:tcPr>
          <w:p w14:paraId="1E62B77C" w14:textId="77777777" w:rsidR="005F15D8" w:rsidRPr="00AD25CD" w:rsidRDefault="005F15D8" w:rsidP="00154A95">
            <w:pPr>
              <w:pStyle w:val="Aufzhlungszeichen"/>
              <w:numPr>
                <w:ilvl w:val="0"/>
                <w:numId w:val="0"/>
              </w:numPr>
              <w:jc w:val="center"/>
            </w:pPr>
            <w:r>
              <w:t>Berufsbildende Schulen (Ha</w:t>
            </w:r>
            <w:r>
              <w:t>n</w:t>
            </w:r>
            <w:r>
              <w:t xml:space="preserve">delsschulen, technische, künstlerische Schulen) </w:t>
            </w:r>
            <w:r>
              <w:rPr>
                <w:b/>
              </w:rPr>
              <w:t xml:space="preserve">mit </w:t>
            </w:r>
            <w:r>
              <w:t>Matura</w:t>
            </w:r>
          </w:p>
        </w:tc>
        <w:tc>
          <w:tcPr>
            <w:tcW w:w="1638" w:type="dxa"/>
            <w:vMerge/>
            <w:vAlign w:val="center"/>
          </w:tcPr>
          <w:p w14:paraId="4C25D881" w14:textId="77777777" w:rsidR="005F15D8" w:rsidRDefault="005F15D8" w:rsidP="00154A95">
            <w:pPr>
              <w:pStyle w:val="Aufzhlungszeichen"/>
              <w:numPr>
                <w:ilvl w:val="0"/>
                <w:numId w:val="0"/>
              </w:numPr>
              <w:jc w:val="center"/>
            </w:pPr>
          </w:p>
        </w:tc>
        <w:tc>
          <w:tcPr>
            <w:tcW w:w="1121" w:type="dxa"/>
            <w:vMerge/>
            <w:vAlign w:val="center"/>
          </w:tcPr>
          <w:p w14:paraId="62EF9923" w14:textId="77777777" w:rsidR="005F15D8" w:rsidRDefault="005F15D8" w:rsidP="00154A95">
            <w:pPr>
              <w:pStyle w:val="Aufzhlungszeichen"/>
              <w:numPr>
                <w:ilvl w:val="0"/>
                <w:numId w:val="0"/>
              </w:numPr>
              <w:jc w:val="center"/>
            </w:pPr>
          </w:p>
        </w:tc>
        <w:tc>
          <w:tcPr>
            <w:tcW w:w="2100" w:type="dxa"/>
            <w:shd w:val="clear" w:color="auto" w:fill="7F7F7F" w:themeFill="text1" w:themeFillTint="80"/>
            <w:vAlign w:val="center"/>
          </w:tcPr>
          <w:p w14:paraId="1CD2D079" w14:textId="77777777" w:rsidR="005F15D8" w:rsidRDefault="005F15D8" w:rsidP="00154A95">
            <w:pPr>
              <w:pStyle w:val="Aufzhlungszeichen"/>
              <w:numPr>
                <w:ilvl w:val="0"/>
                <w:numId w:val="0"/>
              </w:numPr>
              <w:jc w:val="center"/>
            </w:pPr>
            <w:r>
              <w:t>9 - 13</w:t>
            </w:r>
          </w:p>
        </w:tc>
      </w:tr>
      <w:tr w:rsidR="005F15D8" w14:paraId="23D75497" w14:textId="77777777" w:rsidTr="00154A95">
        <w:tc>
          <w:tcPr>
            <w:tcW w:w="1613" w:type="dxa"/>
            <w:vMerge w:val="restart"/>
            <w:shd w:val="clear" w:color="auto" w:fill="A6A6A6" w:themeFill="background1" w:themeFillShade="A6"/>
            <w:vAlign w:val="center"/>
          </w:tcPr>
          <w:p w14:paraId="007F686B" w14:textId="77777777" w:rsidR="005F15D8" w:rsidRDefault="005F15D8" w:rsidP="00154A95">
            <w:pPr>
              <w:pStyle w:val="Aufzhlungszeichen"/>
              <w:numPr>
                <w:ilvl w:val="0"/>
                <w:numId w:val="0"/>
              </w:numPr>
              <w:jc w:val="center"/>
            </w:pPr>
            <w:r>
              <w:t>14 - 18</w:t>
            </w:r>
          </w:p>
        </w:tc>
        <w:tc>
          <w:tcPr>
            <w:tcW w:w="1841" w:type="dxa"/>
            <w:vMerge w:val="restart"/>
            <w:shd w:val="clear" w:color="auto" w:fill="76923C" w:themeFill="accent3" w:themeFillShade="BF"/>
            <w:vAlign w:val="center"/>
          </w:tcPr>
          <w:p w14:paraId="32D58DDD" w14:textId="77777777" w:rsidR="005F15D8" w:rsidRDefault="005F15D8" w:rsidP="00154A95">
            <w:pPr>
              <w:pStyle w:val="Aufzhlungszeichen"/>
              <w:numPr>
                <w:ilvl w:val="0"/>
                <w:numId w:val="0"/>
              </w:numPr>
              <w:jc w:val="center"/>
            </w:pPr>
            <w:r>
              <w:t>Oberstufe (= al</w:t>
            </w:r>
            <w:r>
              <w:t>l</w:t>
            </w:r>
            <w:r>
              <w:t>gemeinbildende Schule)</w:t>
            </w:r>
          </w:p>
        </w:tc>
        <w:tc>
          <w:tcPr>
            <w:tcW w:w="1718" w:type="dxa"/>
            <w:vMerge/>
            <w:shd w:val="clear" w:color="auto" w:fill="C2D69B" w:themeFill="accent3" w:themeFillTint="99"/>
            <w:vAlign w:val="center"/>
          </w:tcPr>
          <w:p w14:paraId="45B02B95" w14:textId="77777777" w:rsidR="005F15D8" w:rsidRDefault="005F15D8" w:rsidP="00154A95">
            <w:pPr>
              <w:pStyle w:val="Aufzhlungszeichen"/>
              <w:numPr>
                <w:ilvl w:val="0"/>
                <w:numId w:val="0"/>
              </w:numPr>
              <w:jc w:val="center"/>
            </w:pPr>
          </w:p>
        </w:tc>
        <w:tc>
          <w:tcPr>
            <w:tcW w:w="1638" w:type="dxa"/>
            <w:vMerge w:val="restart"/>
            <w:shd w:val="clear" w:color="auto" w:fill="00B050"/>
            <w:vAlign w:val="center"/>
          </w:tcPr>
          <w:p w14:paraId="1284BF5F" w14:textId="77777777" w:rsidR="005F15D8" w:rsidRDefault="005F15D8" w:rsidP="00154A95">
            <w:pPr>
              <w:pStyle w:val="Aufzhlungszeichen"/>
              <w:numPr>
                <w:ilvl w:val="0"/>
                <w:numId w:val="0"/>
              </w:numPr>
              <w:jc w:val="center"/>
            </w:pPr>
            <w:r>
              <w:t>Berufsbildende Schulen (Ha</w:t>
            </w:r>
            <w:r>
              <w:t>n</w:t>
            </w:r>
            <w:r>
              <w:t xml:space="preserve">delsschulen, technische, künstlerische Schulen) </w:t>
            </w:r>
            <w:r>
              <w:rPr>
                <w:b/>
              </w:rPr>
              <w:t xml:space="preserve">ohne </w:t>
            </w:r>
            <w:r>
              <w:t>Matura</w:t>
            </w:r>
          </w:p>
        </w:tc>
        <w:tc>
          <w:tcPr>
            <w:tcW w:w="1121" w:type="dxa"/>
            <w:shd w:val="clear" w:color="auto" w:fill="92D050"/>
            <w:vAlign w:val="center"/>
          </w:tcPr>
          <w:p w14:paraId="09AE5F48" w14:textId="77777777" w:rsidR="005F15D8" w:rsidRDefault="005F15D8" w:rsidP="00154A95">
            <w:pPr>
              <w:pStyle w:val="Aufzhlungszeichen"/>
              <w:numPr>
                <w:ilvl w:val="0"/>
                <w:numId w:val="0"/>
              </w:numPr>
              <w:jc w:val="center"/>
            </w:pPr>
            <w:r>
              <w:t>Berufsschule (Lehre)</w:t>
            </w:r>
          </w:p>
        </w:tc>
        <w:tc>
          <w:tcPr>
            <w:tcW w:w="2100" w:type="dxa"/>
            <w:vMerge w:val="restart"/>
            <w:shd w:val="clear" w:color="auto" w:fill="A6A6A6" w:themeFill="background1" w:themeFillShade="A6"/>
            <w:vAlign w:val="center"/>
          </w:tcPr>
          <w:p w14:paraId="0189F060" w14:textId="77777777" w:rsidR="005F15D8" w:rsidRDefault="005F15D8" w:rsidP="00154A95">
            <w:pPr>
              <w:pStyle w:val="Aufzhlungszeichen"/>
              <w:numPr>
                <w:ilvl w:val="0"/>
                <w:numId w:val="0"/>
              </w:numPr>
              <w:jc w:val="center"/>
            </w:pPr>
            <w:r>
              <w:t>9 - 12</w:t>
            </w:r>
          </w:p>
        </w:tc>
      </w:tr>
      <w:tr w:rsidR="005F15D8" w14:paraId="6CF1443F" w14:textId="77777777" w:rsidTr="00154A95">
        <w:tc>
          <w:tcPr>
            <w:tcW w:w="1613" w:type="dxa"/>
            <w:vMerge/>
            <w:shd w:val="clear" w:color="auto" w:fill="A6A6A6" w:themeFill="background1" w:themeFillShade="A6"/>
            <w:vAlign w:val="center"/>
          </w:tcPr>
          <w:p w14:paraId="16D4E3CD" w14:textId="77777777" w:rsidR="005F15D8" w:rsidRDefault="005F15D8" w:rsidP="00154A95">
            <w:pPr>
              <w:pStyle w:val="Aufzhlungszeichen"/>
              <w:numPr>
                <w:ilvl w:val="0"/>
                <w:numId w:val="0"/>
              </w:numPr>
              <w:jc w:val="center"/>
            </w:pPr>
          </w:p>
        </w:tc>
        <w:tc>
          <w:tcPr>
            <w:tcW w:w="1841" w:type="dxa"/>
            <w:vMerge/>
            <w:shd w:val="clear" w:color="auto" w:fill="76923C" w:themeFill="accent3" w:themeFillShade="BF"/>
            <w:vAlign w:val="center"/>
          </w:tcPr>
          <w:p w14:paraId="0033DE45" w14:textId="77777777" w:rsidR="005F15D8" w:rsidRDefault="005F15D8" w:rsidP="00154A95">
            <w:pPr>
              <w:pStyle w:val="Aufzhlungszeichen"/>
              <w:numPr>
                <w:ilvl w:val="0"/>
                <w:numId w:val="0"/>
              </w:numPr>
              <w:jc w:val="center"/>
            </w:pPr>
          </w:p>
        </w:tc>
        <w:tc>
          <w:tcPr>
            <w:tcW w:w="1718" w:type="dxa"/>
            <w:vMerge/>
            <w:shd w:val="clear" w:color="auto" w:fill="C2D69B" w:themeFill="accent3" w:themeFillTint="99"/>
            <w:vAlign w:val="center"/>
          </w:tcPr>
          <w:p w14:paraId="60E2AE08" w14:textId="77777777" w:rsidR="005F15D8" w:rsidRDefault="005F15D8" w:rsidP="00154A95">
            <w:pPr>
              <w:pStyle w:val="Aufzhlungszeichen"/>
              <w:numPr>
                <w:ilvl w:val="0"/>
                <w:numId w:val="0"/>
              </w:numPr>
              <w:jc w:val="center"/>
            </w:pPr>
          </w:p>
        </w:tc>
        <w:tc>
          <w:tcPr>
            <w:tcW w:w="1638" w:type="dxa"/>
            <w:vMerge/>
            <w:shd w:val="clear" w:color="auto" w:fill="00B050"/>
            <w:vAlign w:val="center"/>
          </w:tcPr>
          <w:p w14:paraId="733B4A80" w14:textId="77777777" w:rsidR="005F15D8" w:rsidRDefault="005F15D8" w:rsidP="00154A95">
            <w:pPr>
              <w:pStyle w:val="Aufzhlungszeichen"/>
              <w:numPr>
                <w:ilvl w:val="0"/>
                <w:numId w:val="0"/>
              </w:numPr>
              <w:jc w:val="center"/>
            </w:pPr>
          </w:p>
        </w:tc>
        <w:tc>
          <w:tcPr>
            <w:tcW w:w="1121" w:type="dxa"/>
            <w:shd w:val="clear" w:color="auto" w:fill="DAEEF3" w:themeFill="accent5" w:themeFillTint="33"/>
            <w:vAlign w:val="center"/>
          </w:tcPr>
          <w:p w14:paraId="44A5FC06" w14:textId="77777777" w:rsidR="005F15D8" w:rsidRDefault="005F15D8" w:rsidP="00154A95">
            <w:pPr>
              <w:pStyle w:val="Aufzhlungszeichen"/>
              <w:numPr>
                <w:ilvl w:val="0"/>
                <w:numId w:val="0"/>
              </w:numPr>
              <w:jc w:val="center"/>
            </w:pPr>
            <w:r>
              <w:t>Polytechnische Schule</w:t>
            </w:r>
          </w:p>
        </w:tc>
        <w:tc>
          <w:tcPr>
            <w:tcW w:w="2100" w:type="dxa"/>
            <w:vMerge/>
            <w:shd w:val="clear" w:color="auto" w:fill="A6A6A6" w:themeFill="background1" w:themeFillShade="A6"/>
            <w:vAlign w:val="center"/>
          </w:tcPr>
          <w:p w14:paraId="2EC23ED5" w14:textId="77777777" w:rsidR="005F15D8" w:rsidRDefault="005F15D8" w:rsidP="00154A95">
            <w:pPr>
              <w:pStyle w:val="Aufzhlungszeichen"/>
              <w:numPr>
                <w:ilvl w:val="0"/>
                <w:numId w:val="0"/>
              </w:numPr>
              <w:jc w:val="center"/>
            </w:pPr>
          </w:p>
        </w:tc>
      </w:tr>
      <w:tr w:rsidR="005F15D8" w14:paraId="687823A4" w14:textId="77777777" w:rsidTr="00154A95">
        <w:tc>
          <w:tcPr>
            <w:tcW w:w="1613" w:type="dxa"/>
            <w:shd w:val="clear" w:color="auto" w:fill="BFBFBF" w:themeFill="background1" w:themeFillShade="BF"/>
            <w:vAlign w:val="center"/>
          </w:tcPr>
          <w:p w14:paraId="7ED4210A" w14:textId="77777777" w:rsidR="005F15D8" w:rsidRDefault="005F15D8" w:rsidP="00154A95">
            <w:pPr>
              <w:pStyle w:val="Aufzhlungszeichen"/>
              <w:numPr>
                <w:ilvl w:val="0"/>
                <w:numId w:val="0"/>
              </w:numPr>
              <w:jc w:val="center"/>
            </w:pPr>
            <w:r>
              <w:t>10 - 14</w:t>
            </w:r>
          </w:p>
        </w:tc>
        <w:tc>
          <w:tcPr>
            <w:tcW w:w="3559" w:type="dxa"/>
            <w:gridSpan w:val="2"/>
            <w:shd w:val="clear" w:color="auto" w:fill="E36C0A" w:themeFill="accent6" w:themeFillShade="BF"/>
            <w:vAlign w:val="center"/>
          </w:tcPr>
          <w:p w14:paraId="2B047C16" w14:textId="77777777" w:rsidR="005F15D8" w:rsidRDefault="005F15D8" w:rsidP="00154A95">
            <w:pPr>
              <w:pStyle w:val="Aufzhlungszeichen"/>
              <w:numPr>
                <w:ilvl w:val="0"/>
                <w:numId w:val="0"/>
              </w:numPr>
              <w:jc w:val="center"/>
            </w:pPr>
            <w:r>
              <w:t>Unterstufe (= allgemeinbildende Schule)</w:t>
            </w:r>
          </w:p>
        </w:tc>
        <w:tc>
          <w:tcPr>
            <w:tcW w:w="2759" w:type="dxa"/>
            <w:gridSpan w:val="2"/>
            <w:shd w:val="clear" w:color="auto" w:fill="FABF8F" w:themeFill="accent6" w:themeFillTint="99"/>
            <w:vAlign w:val="center"/>
          </w:tcPr>
          <w:p w14:paraId="661930C8" w14:textId="77777777" w:rsidR="005F15D8" w:rsidRDefault="005F15D8" w:rsidP="00154A95">
            <w:pPr>
              <w:pStyle w:val="Aufzhlungszeichen"/>
              <w:numPr>
                <w:ilvl w:val="0"/>
                <w:numId w:val="0"/>
              </w:numPr>
              <w:jc w:val="center"/>
            </w:pPr>
            <w:r>
              <w:t>Hauptschule &amp; Gesamtschule (neu)</w:t>
            </w:r>
          </w:p>
        </w:tc>
        <w:tc>
          <w:tcPr>
            <w:tcW w:w="2100" w:type="dxa"/>
            <w:shd w:val="clear" w:color="auto" w:fill="BFBFBF" w:themeFill="background1" w:themeFillShade="BF"/>
            <w:vAlign w:val="center"/>
          </w:tcPr>
          <w:p w14:paraId="6F714BDC" w14:textId="77777777" w:rsidR="005F15D8" w:rsidRDefault="005F15D8" w:rsidP="00154A95">
            <w:pPr>
              <w:pStyle w:val="Aufzhlungszeichen"/>
              <w:numPr>
                <w:ilvl w:val="0"/>
                <w:numId w:val="0"/>
              </w:numPr>
              <w:jc w:val="center"/>
            </w:pPr>
            <w:r>
              <w:t>5 - 8</w:t>
            </w:r>
          </w:p>
        </w:tc>
      </w:tr>
      <w:tr w:rsidR="005F15D8" w14:paraId="0498C417" w14:textId="77777777" w:rsidTr="00154A95">
        <w:tc>
          <w:tcPr>
            <w:tcW w:w="1613" w:type="dxa"/>
            <w:shd w:val="clear" w:color="auto" w:fill="D9D9D9" w:themeFill="background1" w:themeFillShade="D9"/>
            <w:vAlign w:val="center"/>
          </w:tcPr>
          <w:p w14:paraId="63FC39FF" w14:textId="77777777" w:rsidR="005F15D8" w:rsidRDefault="005F15D8" w:rsidP="00154A95">
            <w:pPr>
              <w:pStyle w:val="Aufzhlungszeichen"/>
              <w:numPr>
                <w:ilvl w:val="0"/>
                <w:numId w:val="0"/>
              </w:numPr>
              <w:jc w:val="center"/>
            </w:pPr>
            <w:r>
              <w:t>6 - 10</w:t>
            </w:r>
          </w:p>
        </w:tc>
        <w:tc>
          <w:tcPr>
            <w:tcW w:w="6318" w:type="dxa"/>
            <w:gridSpan w:val="4"/>
            <w:shd w:val="clear" w:color="auto" w:fill="B2A1C7" w:themeFill="accent4" w:themeFillTint="99"/>
            <w:vAlign w:val="center"/>
          </w:tcPr>
          <w:p w14:paraId="5E49C94C" w14:textId="77777777" w:rsidR="005F15D8" w:rsidRDefault="005F15D8" w:rsidP="00154A95">
            <w:pPr>
              <w:pStyle w:val="Aufzhlungszeichen"/>
              <w:numPr>
                <w:ilvl w:val="0"/>
                <w:numId w:val="0"/>
              </w:numPr>
              <w:jc w:val="center"/>
            </w:pPr>
            <w:r>
              <w:t>Volksschule</w:t>
            </w:r>
          </w:p>
        </w:tc>
        <w:tc>
          <w:tcPr>
            <w:tcW w:w="2100" w:type="dxa"/>
            <w:shd w:val="clear" w:color="auto" w:fill="D9D9D9" w:themeFill="background1" w:themeFillShade="D9"/>
            <w:vAlign w:val="center"/>
          </w:tcPr>
          <w:p w14:paraId="4FBC4465" w14:textId="77777777" w:rsidR="005F15D8" w:rsidRDefault="005F15D8" w:rsidP="00154A95">
            <w:pPr>
              <w:pStyle w:val="Aufzhlungszeichen"/>
              <w:numPr>
                <w:ilvl w:val="0"/>
                <w:numId w:val="0"/>
              </w:numPr>
              <w:jc w:val="center"/>
            </w:pPr>
            <w:r>
              <w:t>1 - 4</w:t>
            </w:r>
          </w:p>
        </w:tc>
      </w:tr>
      <w:tr w:rsidR="005F15D8" w14:paraId="26FEB91D" w14:textId="77777777" w:rsidTr="00154A95">
        <w:tc>
          <w:tcPr>
            <w:tcW w:w="1613" w:type="dxa"/>
            <w:vAlign w:val="center"/>
          </w:tcPr>
          <w:p w14:paraId="73A76152" w14:textId="77777777" w:rsidR="005F15D8" w:rsidRDefault="005F15D8" w:rsidP="00154A95">
            <w:pPr>
              <w:pStyle w:val="Aufzhlungszeichen"/>
              <w:numPr>
                <w:ilvl w:val="0"/>
                <w:numId w:val="0"/>
              </w:numPr>
              <w:jc w:val="center"/>
            </w:pPr>
            <w:r>
              <w:t>3 - 5</w:t>
            </w:r>
          </w:p>
        </w:tc>
        <w:tc>
          <w:tcPr>
            <w:tcW w:w="6318" w:type="dxa"/>
            <w:gridSpan w:val="4"/>
            <w:shd w:val="clear" w:color="auto" w:fill="CCC0D9" w:themeFill="accent4" w:themeFillTint="66"/>
            <w:vAlign w:val="center"/>
          </w:tcPr>
          <w:p w14:paraId="774D851D" w14:textId="77777777" w:rsidR="005F15D8" w:rsidRDefault="005F15D8" w:rsidP="00154A95">
            <w:pPr>
              <w:pStyle w:val="Aufzhlungszeichen"/>
              <w:numPr>
                <w:ilvl w:val="0"/>
                <w:numId w:val="0"/>
              </w:numPr>
              <w:jc w:val="center"/>
            </w:pPr>
            <w:r>
              <w:t>Vorschule</w:t>
            </w:r>
          </w:p>
        </w:tc>
        <w:tc>
          <w:tcPr>
            <w:tcW w:w="2100" w:type="dxa"/>
            <w:vAlign w:val="center"/>
          </w:tcPr>
          <w:p w14:paraId="73F8B32D" w14:textId="77777777" w:rsidR="005F15D8" w:rsidRDefault="005F15D8" w:rsidP="00154A95">
            <w:pPr>
              <w:pStyle w:val="Aufzhlungszeichen"/>
              <w:numPr>
                <w:ilvl w:val="0"/>
                <w:numId w:val="0"/>
              </w:numPr>
              <w:jc w:val="center"/>
            </w:pPr>
          </w:p>
        </w:tc>
      </w:tr>
    </w:tbl>
    <w:p w14:paraId="2F43F79A" w14:textId="77777777" w:rsidR="005F15D8" w:rsidRDefault="005F15D8" w:rsidP="005F15D8">
      <w:pPr>
        <w:pStyle w:val="Aufzhlungszeichen"/>
        <w:numPr>
          <w:ilvl w:val="0"/>
          <w:numId w:val="0"/>
        </w:numPr>
      </w:pPr>
    </w:p>
    <w:p w14:paraId="5D7EA796" w14:textId="77777777" w:rsidR="005F15D8" w:rsidRDefault="005F15D8" w:rsidP="005F15D8">
      <w:pPr>
        <w:pStyle w:val="Aufzhlungszeichen"/>
        <w:numPr>
          <w:ilvl w:val="0"/>
          <w:numId w:val="0"/>
        </w:numPr>
        <w:rPr>
          <w:noProof/>
          <w:lang w:eastAsia="de-DE"/>
        </w:rPr>
      </w:pPr>
      <w:r>
        <w:rPr>
          <w:noProof/>
          <w:lang w:eastAsia="de-DE"/>
        </w:rPr>
        <w:t>Tabelle 1: eigene Quelle, 2013</w:t>
      </w:r>
    </w:p>
    <w:p w14:paraId="5EEFFAC2" w14:textId="77777777" w:rsidR="005F15D8" w:rsidRDefault="005F15D8" w:rsidP="005F15D8">
      <w:pPr>
        <w:pStyle w:val="Aufzhlungszeichen"/>
        <w:numPr>
          <w:ilvl w:val="0"/>
          <w:numId w:val="0"/>
        </w:numPr>
        <w:rPr>
          <w:noProof/>
          <w:lang w:eastAsia="de-DE"/>
        </w:rPr>
      </w:pPr>
    </w:p>
    <w:p w14:paraId="3773D971" w14:textId="126BE3BB" w:rsidR="005F15D8" w:rsidRDefault="005F15D8" w:rsidP="00105B3E">
      <w:pPr>
        <w:pStyle w:val="Aufzhlungszeichen"/>
        <w:numPr>
          <w:ilvl w:val="0"/>
          <w:numId w:val="0"/>
        </w:numPr>
        <w:jc w:val="both"/>
        <w:rPr>
          <w:noProof/>
          <w:lang w:eastAsia="de-DE"/>
        </w:rPr>
      </w:pPr>
      <w:r>
        <w:rPr>
          <w:noProof/>
          <w:lang w:eastAsia="de-DE"/>
        </w:rPr>
        <w:t>Diese Abbildung zeigt die Struktur des österreichischen Bildungssystems. Schüler und Schülerinnen haben unterschiedliche Möglichkeiten zur Gestaltung ihrer Schulkarriere. Dies betrifft vor allem die Oberstufe bzw. den zweiten Abschnitt der höheren Bildung, was sich auf die Altersgruppe zwischen 14 und 19 Jahren bezieht. Im Mittelpunkt dieses Projekts stehen allgemeinbildende, höhere Schulen – Unter- wie Oberstufe, also Schüler und Schülerinnen zwischen 10 und 18 Jahren. llgemeinbildende höhrere Schulen bieten keine explizite  Finanzbildung in deren Pflichtlehrplänen an. Schulen, die Finanzplanung verpflichtend in ihre Lehrplänen integriert haben, sind die berufsbildenden Schulen, die in Österreich auch unter der Bezeichnung (höhere) Handelsschulen bekannt sind. In diesen Schulen wird Berufsbildung angeboten, die es den Schülern und Schülerinnen nach Abschluss der Schule ermöglicht direkt in den Arbeitsmarkt einzusteigen. Schüler und Schülerinnen, die diese Schulen besuchen, können mit oder ohne Matura (allgemeine Universitätsreife) abschließen. Berufsbildende Schulen ohne Matura dauern 3 Jahre und jene mit Matura umfassen 5 Jahre. Finanzthemen, die in diesen Schulen behandelt werden, sind:</w:t>
      </w:r>
    </w:p>
    <w:p w14:paraId="52822CBD" w14:textId="77777777" w:rsidR="00105B3E" w:rsidRDefault="00105B3E" w:rsidP="00105B3E">
      <w:pPr>
        <w:pStyle w:val="Aufzhlungszeichen"/>
        <w:numPr>
          <w:ilvl w:val="0"/>
          <w:numId w:val="0"/>
        </w:numPr>
        <w:jc w:val="both"/>
        <w:rPr>
          <w:noProof/>
          <w:lang w:eastAsia="de-DE"/>
        </w:rPr>
      </w:pPr>
    </w:p>
    <w:p w14:paraId="563783E4" w14:textId="77777777" w:rsidR="005F15D8" w:rsidRDefault="005F15D8" w:rsidP="00105B3E">
      <w:pPr>
        <w:pStyle w:val="Aufzhlungszeichen"/>
        <w:numPr>
          <w:ilvl w:val="0"/>
          <w:numId w:val="37"/>
        </w:numPr>
        <w:jc w:val="both"/>
        <w:rPr>
          <w:noProof/>
          <w:lang w:eastAsia="de-DE"/>
        </w:rPr>
      </w:pPr>
      <w:r>
        <w:rPr>
          <w:noProof/>
          <w:lang w:eastAsia="de-DE"/>
        </w:rPr>
        <w:t>Wirtschaftsmathematik</w:t>
      </w:r>
    </w:p>
    <w:p w14:paraId="2ACBA4A9" w14:textId="77777777" w:rsidR="005F15D8" w:rsidRDefault="005F15D8" w:rsidP="00105B3E">
      <w:pPr>
        <w:pStyle w:val="Aufzhlungszeichen"/>
        <w:numPr>
          <w:ilvl w:val="0"/>
          <w:numId w:val="37"/>
        </w:numPr>
        <w:jc w:val="both"/>
        <w:rPr>
          <w:noProof/>
          <w:lang w:eastAsia="de-DE"/>
        </w:rPr>
      </w:pPr>
      <w:r>
        <w:rPr>
          <w:noProof/>
          <w:lang w:eastAsia="de-DE"/>
        </w:rPr>
        <w:t>Betriebswirtschaftslehre</w:t>
      </w:r>
    </w:p>
    <w:p w14:paraId="6178B146" w14:textId="77777777" w:rsidR="005F15D8" w:rsidRDefault="005F15D8" w:rsidP="00105B3E">
      <w:pPr>
        <w:pStyle w:val="Aufzhlungszeichen"/>
        <w:numPr>
          <w:ilvl w:val="0"/>
          <w:numId w:val="37"/>
        </w:numPr>
        <w:jc w:val="both"/>
        <w:rPr>
          <w:noProof/>
          <w:lang w:eastAsia="de-DE"/>
        </w:rPr>
      </w:pPr>
      <w:r>
        <w:rPr>
          <w:noProof/>
          <w:lang w:eastAsia="de-DE"/>
        </w:rPr>
        <w:t>Buchhaltung/Rechnungsprüfung</w:t>
      </w:r>
    </w:p>
    <w:p w14:paraId="2B560316" w14:textId="77777777" w:rsidR="005F15D8" w:rsidRDefault="005F15D8" w:rsidP="005F15D8">
      <w:pPr>
        <w:pStyle w:val="Aufzhlungszeichen"/>
        <w:numPr>
          <w:ilvl w:val="0"/>
          <w:numId w:val="38"/>
        </w:numPr>
      </w:pPr>
      <w:r>
        <w:t>Wirtschaftslehre</w:t>
      </w:r>
    </w:p>
    <w:p w14:paraId="1DC13E7B" w14:textId="77777777" w:rsidR="005F15D8" w:rsidRDefault="005F15D8" w:rsidP="005F15D8">
      <w:pPr>
        <w:pStyle w:val="Aufzhlungszeichen"/>
        <w:numPr>
          <w:ilvl w:val="0"/>
          <w:numId w:val="38"/>
        </w:numPr>
      </w:pPr>
      <w:r>
        <w:t>Berufspraxis</w:t>
      </w:r>
    </w:p>
    <w:p w14:paraId="1986C635" w14:textId="77777777" w:rsidR="005F15D8" w:rsidRDefault="005F15D8" w:rsidP="005F15D8">
      <w:pPr>
        <w:pStyle w:val="Aufzhlungszeichen"/>
        <w:numPr>
          <w:ilvl w:val="0"/>
          <w:numId w:val="38"/>
        </w:numPr>
      </w:pPr>
      <w:r>
        <w:t>Wirtschaftsinformatik</w:t>
      </w:r>
    </w:p>
    <w:p w14:paraId="626EAAB4" w14:textId="77777777" w:rsidR="005F15D8" w:rsidRDefault="005F15D8" w:rsidP="005F15D8">
      <w:pPr>
        <w:pStyle w:val="Aufzhlungszeichen"/>
        <w:numPr>
          <w:ilvl w:val="0"/>
          <w:numId w:val="0"/>
        </w:numPr>
        <w:ind w:left="360" w:hanging="360"/>
      </w:pPr>
    </w:p>
    <w:p w14:paraId="4A97B839" w14:textId="77777777" w:rsidR="005F15D8" w:rsidRPr="00460AE0" w:rsidRDefault="005F15D8" w:rsidP="00105B3E">
      <w:pPr>
        <w:pStyle w:val="Aufzhlungszeichen"/>
        <w:numPr>
          <w:ilvl w:val="0"/>
          <w:numId w:val="0"/>
        </w:numPr>
        <w:jc w:val="both"/>
      </w:pPr>
      <w:r>
        <w:t>Berufsbildende Schulen mit Schwerpunkt auf anderen Themen, wie z.B. mit künstlerischen oder technischen Schwerpunkten, bieten ebenso Finanzbildung an, aber natürlich in einem geringeren Ausmaß als Handelsschulen.</w:t>
      </w:r>
    </w:p>
    <w:p w14:paraId="4D6CFB3D" w14:textId="77777777" w:rsidR="00105B3E" w:rsidRDefault="005F15D8" w:rsidP="00105B3E">
      <w:pPr>
        <w:jc w:val="both"/>
      </w:pPr>
      <w:r w:rsidRPr="006B5475">
        <w:t>Die Konzentration auf Finanzbildung ist ein Kennzeichen berufsbildender Schulen in Österreich. D</w:t>
      </w:r>
      <w:r w:rsidRPr="006B5475">
        <w:t>a</w:t>
      </w:r>
      <w:r w:rsidRPr="006B5475">
        <w:t>her haben Lehrer und Lehrerinnen der oben genannten Schulfächer einen komplett anderen Bi</w:t>
      </w:r>
      <w:r w:rsidRPr="006B5475">
        <w:t>l</w:t>
      </w:r>
      <w:r w:rsidRPr="006B5475">
        <w:t>dungshintergrund als Lehrer und Lehrerinnen von allgemeinbildenden Schulen. Sie haben kein Leh</w:t>
      </w:r>
      <w:r w:rsidRPr="006B5475">
        <w:t>r</w:t>
      </w:r>
      <w:r w:rsidRPr="006B5475">
        <w:t>erdiplom für weiterführende Schulen und müssen auch kein Probejahr nach Abschluss ihrer Univers</w:t>
      </w:r>
      <w:r w:rsidRPr="006B5475">
        <w:t>i</w:t>
      </w:r>
      <w:r w:rsidRPr="006B5475">
        <w:t xml:space="preserve">tätsbildung absolvieren. Lehrer und Lehrerinnen von Handelsschulen müssen einen Masterabschluss in Wirtschaftspädagogik und Entwicklung aufweisen und müssen im Zuge </w:t>
      </w:r>
      <w:r>
        <w:t>ihres Studiums</w:t>
      </w:r>
      <w:r w:rsidRPr="006B5475">
        <w:t xml:space="preserve"> mindestens ein vollständiges Modul aus einem bestimmten Bereich der Betriebswirtschaftslehre (5 Lehrvera</w:t>
      </w:r>
      <w:r w:rsidRPr="006B5475">
        <w:t>n</w:t>
      </w:r>
      <w:r w:rsidRPr="006B5475">
        <w:t>staltungen + 1 mündliche Prüfung) absolviert haben. Der Bildungshintergrund von Studierenden der Betriebswirtschaftslehre und jener der Studierenden der Wirtschaftspädagogik ist in Österreich sehr ähnlich, abgesehen von den didaktischen Lehrveranstaltungen. Das Schulpraktikum muss innerhalb des letzten Jahres absolviert werden. Im Gegensatz zu Lehrern und Lehrerinnen an allgemeinbilde</w:t>
      </w:r>
      <w:r w:rsidRPr="006B5475">
        <w:t>n</w:t>
      </w:r>
      <w:r w:rsidRPr="006B5475">
        <w:t>den, höheren Schulen müssen Lehrer und Lehrerinnen an Handelsschulen mindestens zwei Jahre in einem Unternehmen tätig gewesen sein, damit sie als Lehrer oder Lehrerin in Vollzeit arbeiten kö</w:t>
      </w:r>
      <w:r w:rsidRPr="006B5475">
        <w:t>n</w:t>
      </w:r>
      <w:r w:rsidRPr="006B5475">
        <w:t>nen.</w:t>
      </w:r>
    </w:p>
    <w:p w14:paraId="7F908C71" w14:textId="68EF3670" w:rsidR="005F15D8" w:rsidRDefault="005F15D8" w:rsidP="00105B3E">
      <w:pPr>
        <w:jc w:val="both"/>
      </w:pPr>
      <w:r>
        <w:t>Die oben erläuterte Beschreibung zeigt, dass zahlreiche Unterschiede zwischen Lehrern und Lehr</w:t>
      </w:r>
      <w:r>
        <w:t>e</w:t>
      </w:r>
      <w:r>
        <w:t>rinnen an allgemeinbildenden Schulen und Handelsschulen im Hinblick auf deren Ausbildung und Arbeitserfahrung bestehen. Diese Unterschiede schlagen sich auch in der Tatsache nieder, dass viele Lehrer und Lehrerinnen, die an allgemeinbildenden, höheren Schulen tätig sind, verunsichert sind, wenn sie Themen aus dem finanziellen Bereich behandeln sollen, da sie den fachlichen Hintergrund oft einfach nicht aufweisen. Daher müssen diese Lehrer und Lehrerinnen gefördert werden. Hierbei geht es nicht nur darum, Lehrunterlagen und Methoden zur Verfügung zu stellen, sondern auch d</w:t>
      </w:r>
      <w:r>
        <w:t>a</w:t>
      </w:r>
      <w:r>
        <w:t>rum, diese Lehrer und Lehrerinnen weiterzubilden, damit sie auf dem Laufenden in Bezug auf aktue</w:t>
      </w:r>
      <w:r>
        <w:t>l</w:t>
      </w:r>
      <w:r>
        <w:t>le Finanzthemen bleiben – nur so können diese selbstbewusst und gestärkt im Unterricht auftreten.</w:t>
      </w:r>
    </w:p>
    <w:p w14:paraId="3C085A61" w14:textId="27800019" w:rsidR="00105B3E" w:rsidRDefault="005F15D8" w:rsidP="00105B3E">
      <w:pPr>
        <w:jc w:val="both"/>
      </w:pPr>
      <w:r>
        <w:t>Der folgende Abschnitt stellt einige Einrichtungen vor, die Finanzbildung für weiterführende Schulen anbieten.</w:t>
      </w:r>
    </w:p>
    <w:p w14:paraId="38F15DE1" w14:textId="0B2720AC" w:rsidR="005F15D8" w:rsidRPr="00F35B2A" w:rsidRDefault="005F15D8" w:rsidP="00F35B2A">
      <w:pPr>
        <w:pStyle w:val="berschrift3"/>
        <w:numPr>
          <w:ilvl w:val="2"/>
          <w:numId w:val="18"/>
        </w:numPr>
        <w:spacing w:before="240" w:after="120" w:line="240" w:lineRule="auto"/>
        <w:jc w:val="both"/>
        <w:rPr>
          <w:rFonts w:ascii="Arial" w:hAnsi="Arial" w:cs="Arial"/>
          <w:i/>
          <w:color w:val="auto"/>
          <w:sz w:val="24"/>
        </w:rPr>
      </w:pPr>
      <w:bookmarkStart w:id="6" w:name="_Toc373498154"/>
      <w:r w:rsidRPr="00F35B2A">
        <w:rPr>
          <w:rFonts w:ascii="Arial" w:hAnsi="Arial" w:cs="Arial"/>
          <w:i/>
          <w:color w:val="auto"/>
          <w:sz w:val="24"/>
        </w:rPr>
        <w:t>Nationale Einrichtungen</w:t>
      </w:r>
      <w:bookmarkEnd w:id="6"/>
    </w:p>
    <w:p w14:paraId="1EAB5CE7" w14:textId="77777777" w:rsidR="005F15D8" w:rsidRDefault="005F15D8" w:rsidP="00105B3E">
      <w:pPr>
        <w:jc w:val="both"/>
      </w:pPr>
      <w:r>
        <w:t>Es gibt zahlreiche Einrichtungen in Österreich, die darauf abzielen, das Finanzwissen in Österreich zu erweitern. In diesem Kapitel werden einige Institutionen und deren Initiativen präsentiert. Die b</w:t>
      </w:r>
      <w:r>
        <w:t>e</w:t>
      </w:r>
      <w:r>
        <w:t>schriebenen Initiativen stellen durchgehend Finanzbildung für österreichische Schüler und Schüleri</w:t>
      </w:r>
      <w:r>
        <w:t>n</w:t>
      </w:r>
      <w:r>
        <w:t>nen zur Verfügung.</w:t>
      </w:r>
    </w:p>
    <w:p w14:paraId="3F30C1B0" w14:textId="74909625" w:rsidR="005F15D8" w:rsidRDefault="005F15D8" w:rsidP="005F15D8">
      <w:pPr>
        <w:rPr>
          <w:b/>
          <w:i/>
          <w:u w:val="single"/>
        </w:rPr>
      </w:pPr>
    </w:p>
    <w:tbl>
      <w:tblPr>
        <w:tblStyle w:val="Tabellenraster"/>
        <w:tblW w:w="10207" w:type="dxa"/>
        <w:tblInd w:w="-176" w:type="dxa"/>
        <w:tblLayout w:type="fixed"/>
        <w:tblLook w:val="04A0" w:firstRow="1" w:lastRow="0" w:firstColumn="1" w:lastColumn="0" w:noHBand="0" w:noVBand="1"/>
      </w:tblPr>
      <w:tblGrid>
        <w:gridCol w:w="2336"/>
        <w:gridCol w:w="6"/>
        <w:gridCol w:w="3080"/>
        <w:gridCol w:w="6"/>
        <w:gridCol w:w="3220"/>
        <w:gridCol w:w="1559"/>
      </w:tblGrid>
      <w:tr w:rsidR="005F15D8" w:rsidRPr="004C0E44" w14:paraId="53D8382A" w14:textId="77777777" w:rsidTr="00105B3E">
        <w:tc>
          <w:tcPr>
            <w:tcW w:w="2336" w:type="dxa"/>
            <w:shd w:val="clear" w:color="auto" w:fill="FFFF00"/>
          </w:tcPr>
          <w:p w14:paraId="4C8356C7" w14:textId="77777777" w:rsidR="005F15D8" w:rsidRPr="004C0E44" w:rsidRDefault="005F15D8" w:rsidP="00154A95">
            <w:pPr>
              <w:rPr>
                <w:b/>
              </w:rPr>
            </w:pPr>
            <w:r w:rsidRPr="004C0E44">
              <w:rPr>
                <w:b/>
              </w:rPr>
              <w:t>BEZEICHNUNG DER INITIATIVE</w:t>
            </w:r>
          </w:p>
        </w:tc>
        <w:tc>
          <w:tcPr>
            <w:tcW w:w="3092" w:type="dxa"/>
            <w:gridSpan w:val="3"/>
            <w:shd w:val="clear" w:color="auto" w:fill="FFFF00"/>
          </w:tcPr>
          <w:p w14:paraId="65A4E1F6" w14:textId="77777777" w:rsidR="005F15D8" w:rsidRPr="004C0E44" w:rsidRDefault="005F15D8" w:rsidP="00154A95">
            <w:pPr>
              <w:rPr>
                <w:b/>
              </w:rPr>
            </w:pPr>
            <w:r w:rsidRPr="004C0E44">
              <w:rPr>
                <w:b/>
              </w:rPr>
              <w:t>ANBIETER</w:t>
            </w:r>
          </w:p>
        </w:tc>
        <w:tc>
          <w:tcPr>
            <w:tcW w:w="3220" w:type="dxa"/>
            <w:shd w:val="clear" w:color="auto" w:fill="FFFF00"/>
          </w:tcPr>
          <w:p w14:paraId="017D9A20" w14:textId="77777777" w:rsidR="005F15D8" w:rsidRPr="004C0E44" w:rsidRDefault="005F15D8" w:rsidP="00154A95">
            <w:pPr>
              <w:rPr>
                <w:b/>
              </w:rPr>
            </w:pPr>
            <w:r w:rsidRPr="004C0E44">
              <w:rPr>
                <w:b/>
              </w:rPr>
              <w:t>METHODE/INHALTE</w:t>
            </w:r>
          </w:p>
        </w:tc>
        <w:tc>
          <w:tcPr>
            <w:tcW w:w="1559" w:type="dxa"/>
            <w:shd w:val="clear" w:color="auto" w:fill="FFFF00"/>
          </w:tcPr>
          <w:p w14:paraId="4A8E657D" w14:textId="77777777" w:rsidR="005F15D8" w:rsidRPr="004C0E44" w:rsidRDefault="005F15D8" w:rsidP="00154A95">
            <w:pPr>
              <w:rPr>
                <w:b/>
              </w:rPr>
            </w:pPr>
            <w:r w:rsidRPr="004C0E44">
              <w:rPr>
                <w:b/>
              </w:rPr>
              <w:t>ZIELGRUPPE</w:t>
            </w:r>
          </w:p>
        </w:tc>
      </w:tr>
      <w:tr w:rsidR="005F15D8" w14:paraId="6BA82537" w14:textId="77777777" w:rsidTr="00105B3E">
        <w:tc>
          <w:tcPr>
            <w:tcW w:w="2336" w:type="dxa"/>
          </w:tcPr>
          <w:p w14:paraId="28EF7AB3" w14:textId="77777777" w:rsidR="005F15D8" w:rsidRDefault="005F15D8" w:rsidP="00154A95">
            <w:r>
              <w:t>E-Learning Finanzko</w:t>
            </w:r>
            <w:r>
              <w:t>m</w:t>
            </w:r>
            <w:r>
              <w:t>petenz</w:t>
            </w:r>
          </w:p>
        </w:tc>
        <w:tc>
          <w:tcPr>
            <w:tcW w:w="3092" w:type="dxa"/>
            <w:gridSpan w:val="3"/>
          </w:tcPr>
          <w:p w14:paraId="0642FDE5" w14:textId="77777777" w:rsidR="005F15D8" w:rsidRDefault="005F15D8" w:rsidP="00154A95">
            <w:r>
              <w:t>Schuldnerberatung Oberöste</w:t>
            </w:r>
            <w:r>
              <w:t>r</w:t>
            </w:r>
            <w:r>
              <w:t>reich</w:t>
            </w:r>
          </w:p>
        </w:tc>
        <w:tc>
          <w:tcPr>
            <w:tcW w:w="3220" w:type="dxa"/>
          </w:tcPr>
          <w:p w14:paraId="5312FE00" w14:textId="77777777" w:rsidR="005F15D8" w:rsidRDefault="005F15D8" w:rsidP="00154A95">
            <w:pPr>
              <w:rPr>
                <w:i/>
              </w:rPr>
            </w:pPr>
            <w:r>
              <w:rPr>
                <w:i/>
              </w:rPr>
              <w:t>E-Learning-Kurse</w:t>
            </w:r>
          </w:p>
          <w:p w14:paraId="1AA72E9A" w14:textId="77777777" w:rsidR="005F15D8" w:rsidRDefault="005F15D8" w:rsidP="005F15D8">
            <w:pPr>
              <w:pStyle w:val="Listenabsatz"/>
              <w:numPr>
                <w:ilvl w:val="0"/>
                <w:numId w:val="39"/>
              </w:numPr>
            </w:pPr>
            <w:r>
              <w:t>Lebenskosten</w:t>
            </w:r>
          </w:p>
          <w:p w14:paraId="1AB3934D" w14:textId="77777777" w:rsidR="005F15D8" w:rsidRDefault="005F15D8" w:rsidP="005F15D8">
            <w:pPr>
              <w:pStyle w:val="Listenabsatz"/>
              <w:numPr>
                <w:ilvl w:val="0"/>
                <w:numId w:val="39"/>
              </w:numPr>
            </w:pPr>
            <w:r>
              <w:t>Die erste Wohnung</w:t>
            </w:r>
          </w:p>
          <w:p w14:paraId="7626C424" w14:textId="77777777" w:rsidR="005F15D8" w:rsidRDefault="005F15D8" w:rsidP="005F15D8">
            <w:pPr>
              <w:pStyle w:val="Listenabsatz"/>
              <w:numPr>
                <w:ilvl w:val="0"/>
                <w:numId w:val="39"/>
              </w:numPr>
            </w:pPr>
            <w:r>
              <w:t>Bankkonto</w:t>
            </w:r>
          </w:p>
          <w:p w14:paraId="483F8ABF" w14:textId="77777777" w:rsidR="005F15D8" w:rsidRDefault="005F15D8" w:rsidP="005F15D8">
            <w:pPr>
              <w:pStyle w:val="Listenabsatz"/>
              <w:numPr>
                <w:ilvl w:val="0"/>
                <w:numId w:val="39"/>
              </w:numPr>
            </w:pPr>
            <w:r>
              <w:t>Bankomatkarte</w:t>
            </w:r>
          </w:p>
          <w:p w14:paraId="48BA89FE" w14:textId="77777777" w:rsidR="005F15D8" w:rsidRDefault="005F15D8" w:rsidP="005F15D8">
            <w:pPr>
              <w:pStyle w:val="Listenabsatz"/>
              <w:numPr>
                <w:ilvl w:val="0"/>
                <w:numId w:val="39"/>
              </w:numPr>
            </w:pPr>
            <w:r>
              <w:t>Zahlungsmöglichkeiten</w:t>
            </w:r>
          </w:p>
          <w:p w14:paraId="374CAF7D" w14:textId="77777777" w:rsidR="005F15D8" w:rsidRDefault="005F15D8" w:rsidP="005F15D8">
            <w:pPr>
              <w:pStyle w:val="Listenabsatz"/>
              <w:numPr>
                <w:ilvl w:val="0"/>
                <w:numId w:val="39"/>
              </w:numPr>
            </w:pPr>
            <w:r>
              <w:t>Schulden</w:t>
            </w:r>
          </w:p>
          <w:p w14:paraId="13F51C90" w14:textId="77777777" w:rsidR="005F15D8" w:rsidRDefault="005F15D8" w:rsidP="005F15D8">
            <w:pPr>
              <w:pStyle w:val="Listenabsatz"/>
              <w:numPr>
                <w:ilvl w:val="0"/>
                <w:numId w:val="39"/>
              </w:numPr>
            </w:pPr>
            <w:r>
              <w:t>Internet</w:t>
            </w:r>
          </w:p>
          <w:p w14:paraId="3D558519" w14:textId="77777777" w:rsidR="005F15D8" w:rsidRPr="0013089D" w:rsidRDefault="005F15D8" w:rsidP="005F15D8">
            <w:pPr>
              <w:pStyle w:val="Listenabsatz"/>
              <w:numPr>
                <w:ilvl w:val="0"/>
                <w:numId w:val="39"/>
              </w:numPr>
            </w:pPr>
            <w:r>
              <w:t>Autofinanzierung</w:t>
            </w:r>
          </w:p>
        </w:tc>
        <w:tc>
          <w:tcPr>
            <w:tcW w:w="1559" w:type="dxa"/>
          </w:tcPr>
          <w:p w14:paraId="14DFE02F" w14:textId="77777777" w:rsidR="005F15D8" w:rsidRDefault="005F15D8" w:rsidP="00154A95">
            <w:r>
              <w:t>Nicht festg</w:t>
            </w:r>
            <w:r>
              <w:t>e</w:t>
            </w:r>
            <w:r>
              <w:t>legt</w:t>
            </w:r>
          </w:p>
        </w:tc>
      </w:tr>
      <w:tr w:rsidR="005F15D8" w14:paraId="54293921" w14:textId="77777777" w:rsidTr="00105B3E">
        <w:tc>
          <w:tcPr>
            <w:tcW w:w="2336" w:type="dxa"/>
          </w:tcPr>
          <w:p w14:paraId="2CA8AD63" w14:textId="77777777" w:rsidR="005F15D8" w:rsidRDefault="005F15D8" w:rsidP="00154A95">
            <w:r>
              <w:t>Umgang mit dem eig</w:t>
            </w:r>
            <w:r>
              <w:t>e</w:t>
            </w:r>
            <w:r>
              <w:t>nen Geld</w:t>
            </w:r>
          </w:p>
        </w:tc>
        <w:tc>
          <w:tcPr>
            <w:tcW w:w="3092" w:type="dxa"/>
            <w:gridSpan w:val="3"/>
          </w:tcPr>
          <w:p w14:paraId="5E1072EC" w14:textId="77777777" w:rsidR="005F15D8" w:rsidRDefault="005F15D8" w:rsidP="00154A95">
            <w:r>
              <w:t>Schuldnerberatung Oberöste</w:t>
            </w:r>
            <w:r>
              <w:t>r</w:t>
            </w:r>
            <w:r>
              <w:t>reich</w:t>
            </w:r>
          </w:p>
        </w:tc>
        <w:tc>
          <w:tcPr>
            <w:tcW w:w="3220" w:type="dxa"/>
          </w:tcPr>
          <w:p w14:paraId="3815BE46" w14:textId="77777777" w:rsidR="005F15D8" w:rsidRPr="00D17BF3" w:rsidRDefault="005F15D8" w:rsidP="00154A95">
            <w:pPr>
              <w:rPr>
                <w:i/>
              </w:rPr>
            </w:pPr>
            <w:r>
              <w:rPr>
                <w:i/>
              </w:rPr>
              <w:t>Workshops</w:t>
            </w:r>
          </w:p>
        </w:tc>
        <w:tc>
          <w:tcPr>
            <w:tcW w:w="1559" w:type="dxa"/>
          </w:tcPr>
          <w:p w14:paraId="3531448B" w14:textId="77777777" w:rsidR="005F15D8" w:rsidRDefault="005F15D8" w:rsidP="00154A95">
            <w:r>
              <w:t>Schüler und Schülerinnen,</w:t>
            </w:r>
          </w:p>
          <w:p w14:paraId="3E1F5C6B" w14:textId="77777777" w:rsidR="005F15D8" w:rsidRDefault="005F15D8" w:rsidP="00154A95">
            <w:r>
              <w:t>Erwachsene</w:t>
            </w:r>
          </w:p>
        </w:tc>
      </w:tr>
      <w:tr w:rsidR="005F15D8" w14:paraId="69084B67" w14:textId="77777777" w:rsidTr="00105B3E">
        <w:tc>
          <w:tcPr>
            <w:tcW w:w="2336" w:type="dxa"/>
          </w:tcPr>
          <w:p w14:paraId="4C819309" w14:textId="77777777" w:rsidR="005F15D8" w:rsidRDefault="005F15D8" w:rsidP="00154A95">
            <w:r>
              <w:t>Kosumentenfragen.at</w:t>
            </w:r>
          </w:p>
        </w:tc>
        <w:tc>
          <w:tcPr>
            <w:tcW w:w="3092" w:type="dxa"/>
            <w:gridSpan w:val="3"/>
          </w:tcPr>
          <w:p w14:paraId="21F29743" w14:textId="77777777" w:rsidR="005F15D8" w:rsidRDefault="005F15D8" w:rsidP="00154A95">
            <w:r>
              <w:t>Schuldnerberatung Oberöste</w:t>
            </w:r>
            <w:r>
              <w:t>r</w:t>
            </w:r>
            <w:r>
              <w:t>reich</w:t>
            </w:r>
          </w:p>
        </w:tc>
        <w:tc>
          <w:tcPr>
            <w:tcW w:w="3220" w:type="dxa"/>
          </w:tcPr>
          <w:p w14:paraId="72A1BAC1" w14:textId="77777777" w:rsidR="005F15D8" w:rsidRDefault="005F15D8" w:rsidP="00154A95">
            <w:pPr>
              <w:rPr>
                <w:i/>
              </w:rPr>
            </w:pPr>
            <w:r>
              <w:rPr>
                <w:i/>
              </w:rPr>
              <w:t>Lehrunterlagen</w:t>
            </w:r>
          </w:p>
          <w:p w14:paraId="41868103" w14:textId="77777777" w:rsidR="005F15D8" w:rsidRPr="00F80993" w:rsidRDefault="005F15D8" w:rsidP="005F15D8">
            <w:pPr>
              <w:pStyle w:val="Listenabsatz"/>
              <w:numPr>
                <w:ilvl w:val="0"/>
                <w:numId w:val="40"/>
              </w:numPr>
            </w:pPr>
            <w:r>
              <w:t>Finanz- und Konsume</w:t>
            </w:r>
            <w:r>
              <w:t>n</w:t>
            </w:r>
            <w:r>
              <w:t>tenbildung</w:t>
            </w:r>
          </w:p>
        </w:tc>
        <w:tc>
          <w:tcPr>
            <w:tcW w:w="1559" w:type="dxa"/>
          </w:tcPr>
          <w:p w14:paraId="60103684" w14:textId="77777777" w:rsidR="005F15D8" w:rsidRDefault="005F15D8" w:rsidP="00154A95">
            <w:r>
              <w:t>Schüler und Schülerinnen der Schulst</w:t>
            </w:r>
            <w:r>
              <w:t>u</w:t>
            </w:r>
            <w:r>
              <w:t>fen 8, 9, 10, 11</w:t>
            </w:r>
          </w:p>
        </w:tc>
      </w:tr>
      <w:tr w:rsidR="005F15D8" w14:paraId="0F7D8B04" w14:textId="77777777" w:rsidTr="00105B3E">
        <w:tc>
          <w:tcPr>
            <w:tcW w:w="2336" w:type="dxa"/>
          </w:tcPr>
          <w:p w14:paraId="7E41AC5E" w14:textId="77777777" w:rsidR="005F15D8" w:rsidRDefault="005F15D8" w:rsidP="00154A95">
            <w:r>
              <w:t>DOLCETA</w:t>
            </w:r>
          </w:p>
        </w:tc>
        <w:tc>
          <w:tcPr>
            <w:tcW w:w="3092" w:type="dxa"/>
            <w:gridSpan w:val="3"/>
          </w:tcPr>
          <w:p w14:paraId="387E9F50" w14:textId="77777777" w:rsidR="005F15D8" w:rsidRDefault="005F15D8" w:rsidP="00154A95">
            <w:r>
              <w:t>Europäische Union</w:t>
            </w:r>
          </w:p>
        </w:tc>
        <w:tc>
          <w:tcPr>
            <w:tcW w:w="3220" w:type="dxa"/>
          </w:tcPr>
          <w:p w14:paraId="6CB2A1FE" w14:textId="77777777" w:rsidR="005F15D8" w:rsidRDefault="005F15D8" w:rsidP="00154A95">
            <w:pPr>
              <w:rPr>
                <w:i/>
              </w:rPr>
            </w:pPr>
            <w:r>
              <w:rPr>
                <w:i/>
              </w:rPr>
              <w:t>Online-Plattform mit Lehrunte</w:t>
            </w:r>
            <w:r>
              <w:rPr>
                <w:i/>
              </w:rPr>
              <w:t>r</w:t>
            </w:r>
            <w:r>
              <w:rPr>
                <w:i/>
              </w:rPr>
              <w:t>lagen</w:t>
            </w:r>
          </w:p>
          <w:p w14:paraId="1BFD76A0" w14:textId="77777777" w:rsidR="005F15D8" w:rsidRPr="000A3C84" w:rsidRDefault="005F15D8" w:rsidP="005F15D8">
            <w:pPr>
              <w:pStyle w:val="Listenabsatz"/>
              <w:numPr>
                <w:ilvl w:val="0"/>
                <w:numId w:val="40"/>
              </w:numPr>
            </w:pPr>
            <w:r>
              <w:t>Konsumentenbildung</w:t>
            </w:r>
          </w:p>
        </w:tc>
        <w:tc>
          <w:tcPr>
            <w:tcW w:w="1559" w:type="dxa"/>
          </w:tcPr>
          <w:p w14:paraId="65BC9A6F" w14:textId="77777777" w:rsidR="005F15D8" w:rsidRDefault="005F15D8" w:rsidP="00154A95">
            <w:r>
              <w:t>Lehrer und Lehrerinnen</w:t>
            </w:r>
          </w:p>
        </w:tc>
      </w:tr>
      <w:tr w:rsidR="005F15D8" w14:paraId="3DBB48BD" w14:textId="77777777" w:rsidTr="00105B3E">
        <w:tc>
          <w:tcPr>
            <w:tcW w:w="2336" w:type="dxa"/>
          </w:tcPr>
          <w:p w14:paraId="5E4AC123" w14:textId="77777777" w:rsidR="005F15D8" w:rsidRDefault="005F15D8" w:rsidP="00154A95">
            <w:r>
              <w:t>Klartext: €ash @ School</w:t>
            </w:r>
          </w:p>
        </w:tc>
        <w:tc>
          <w:tcPr>
            <w:tcW w:w="3092" w:type="dxa"/>
            <w:gridSpan w:val="3"/>
          </w:tcPr>
          <w:p w14:paraId="74E04DC1" w14:textId="77777777" w:rsidR="005F15D8" w:rsidRDefault="005F15D8" w:rsidP="00154A95">
            <w:r>
              <w:t>Schuldnerberatung Oberöste</w:t>
            </w:r>
            <w:r>
              <w:t>r</w:t>
            </w:r>
            <w:r>
              <w:t>reich</w:t>
            </w:r>
          </w:p>
        </w:tc>
        <w:tc>
          <w:tcPr>
            <w:tcW w:w="3220" w:type="dxa"/>
          </w:tcPr>
          <w:p w14:paraId="5C13D07C" w14:textId="77777777" w:rsidR="005F15D8" w:rsidRPr="00171DD3" w:rsidRDefault="005F15D8" w:rsidP="00154A95">
            <w:pPr>
              <w:rPr>
                <w:i/>
              </w:rPr>
            </w:pPr>
            <w:r>
              <w:rPr>
                <w:i/>
              </w:rPr>
              <w:t>Workshop</w:t>
            </w:r>
          </w:p>
        </w:tc>
        <w:tc>
          <w:tcPr>
            <w:tcW w:w="1559" w:type="dxa"/>
          </w:tcPr>
          <w:p w14:paraId="7F320A1F" w14:textId="77777777" w:rsidR="005F15D8" w:rsidRDefault="005F15D8" w:rsidP="00154A95">
            <w:r>
              <w:t>Schüler und Schülerinnen zwischen 14 und 19 Jahren</w:t>
            </w:r>
          </w:p>
        </w:tc>
      </w:tr>
      <w:tr w:rsidR="005F15D8" w14:paraId="7E61757D" w14:textId="77777777" w:rsidTr="00105B3E">
        <w:tc>
          <w:tcPr>
            <w:tcW w:w="2336" w:type="dxa"/>
          </w:tcPr>
          <w:p w14:paraId="54E24FB4" w14:textId="77777777" w:rsidR="005F15D8" w:rsidRDefault="005F15D8" w:rsidP="00154A95">
            <w:r>
              <w:t>Klartext: mein-haushaltsbuch.at</w:t>
            </w:r>
          </w:p>
        </w:tc>
        <w:tc>
          <w:tcPr>
            <w:tcW w:w="3092" w:type="dxa"/>
            <w:gridSpan w:val="3"/>
          </w:tcPr>
          <w:p w14:paraId="09188C74" w14:textId="77777777" w:rsidR="005F15D8" w:rsidRDefault="005F15D8" w:rsidP="00154A95">
            <w:r>
              <w:t>Schuldnerberatung Oberöste</w:t>
            </w:r>
            <w:r>
              <w:t>r</w:t>
            </w:r>
            <w:r>
              <w:t>reich</w:t>
            </w:r>
          </w:p>
        </w:tc>
        <w:tc>
          <w:tcPr>
            <w:tcW w:w="3220" w:type="dxa"/>
          </w:tcPr>
          <w:p w14:paraId="0DD0EC60" w14:textId="77777777" w:rsidR="005F15D8" w:rsidRDefault="005F15D8" w:rsidP="00154A95">
            <w:pPr>
              <w:rPr>
                <w:i/>
              </w:rPr>
            </w:pPr>
            <w:r>
              <w:rPr>
                <w:i/>
              </w:rPr>
              <w:t>Lehrunterlagen</w:t>
            </w:r>
          </w:p>
          <w:p w14:paraId="2308D520" w14:textId="77777777" w:rsidR="005F15D8" w:rsidRPr="00927568" w:rsidRDefault="005F15D8" w:rsidP="005F15D8">
            <w:pPr>
              <w:pStyle w:val="Listenabsatz"/>
              <w:numPr>
                <w:ilvl w:val="0"/>
                <w:numId w:val="40"/>
              </w:numPr>
            </w:pPr>
            <w:r>
              <w:t>Haushaltsbuchführung für Anfänger</w:t>
            </w:r>
          </w:p>
        </w:tc>
        <w:tc>
          <w:tcPr>
            <w:tcW w:w="1559" w:type="dxa"/>
          </w:tcPr>
          <w:p w14:paraId="24E4F396" w14:textId="77777777" w:rsidR="005F15D8" w:rsidRDefault="005F15D8" w:rsidP="00154A95">
            <w:r>
              <w:t>Lehrer und Lehrerinnen</w:t>
            </w:r>
          </w:p>
        </w:tc>
      </w:tr>
      <w:tr w:rsidR="005F15D8" w14:paraId="5469ED09" w14:textId="77777777" w:rsidTr="00105B3E">
        <w:tc>
          <w:tcPr>
            <w:tcW w:w="2336" w:type="dxa"/>
          </w:tcPr>
          <w:p w14:paraId="7BE53EDB" w14:textId="77777777" w:rsidR="005F15D8" w:rsidRDefault="005F15D8" w:rsidP="00154A95">
            <w:r>
              <w:t>Klartext: Schuldenko</w:t>
            </w:r>
            <w:r>
              <w:t>f</w:t>
            </w:r>
            <w:r>
              <w:t>fer.at</w:t>
            </w:r>
          </w:p>
        </w:tc>
        <w:tc>
          <w:tcPr>
            <w:tcW w:w="3092" w:type="dxa"/>
            <w:gridSpan w:val="3"/>
          </w:tcPr>
          <w:p w14:paraId="24A960E7" w14:textId="77777777" w:rsidR="005F15D8" w:rsidRDefault="005F15D8" w:rsidP="00154A95">
            <w:r>
              <w:t>Schuldnerberatung Oberöste</w:t>
            </w:r>
            <w:r>
              <w:t>r</w:t>
            </w:r>
            <w:r>
              <w:t>reich</w:t>
            </w:r>
          </w:p>
        </w:tc>
        <w:tc>
          <w:tcPr>
            <w:tcW w:w="3220" w:type="dxa"/>
          </w:tcPr>
          <w:p w14:paraId="10F755D0" w14:textId="77777777" w:rsidR="005F15D8" w:rsidRPr="00927568" w:rsidRDefault="005F15D8" w:rsidP="00154A95">
            <w:pPr>
              <w:rPr>
                <w:i/>
              </w:rPr>
            </w:pPr>
            <w:r>
              <w:rPr>
                <w:i/>
              </w:rPr>
              <w:t>Lehrunterlagen</w:t>
            </w:r>
          </w:p>
        </w:tc>
        <w:tc>
          <w:tcPr>
            <w:tcW w:w="1559" w:type="dxa"/>
          </w:tcPr>
          <w:p w14:paraId="7BA3C282" w14:textId="77777777" w:rsidR="005F15D8" w:rsidRDefault="005F15D8" w:rsidP="00154A95">
            <w:r>
              <w:t>Lehrer und Lehrerinnen</w:t>
            </w:r>
          </w:p>
        </w:tc>
      </w:tr>
      <w:tr w:rsidR="005F15D8" w14:paraId="1B0D91AC" w14:textId="77777777" w:rsidTr="00105B3E">
        <w:tc>
          <w:tcPr>
            <w:tcW w:w="2336" w:type="dxa"/>
          </w:tcPr>
          <w:p w14:paraId="7EB75D30" w14:textId="77777777" w:rsidR="005F15D8" w:rsidRDefault="005F15D8" w:rsidP="00154A95">
            <w:r>
              <w:t>Konzept Schuldenpr</w:t>
            </w:r>
            <w:r>
              <w:t>ä</w:t>
            </w:r>
            <w:r>
              <w:t>vention</w:t>
            </w:r>
          </w:p>
        </w:tc>
        <w:tc>
          <w:tcPr>
            <w:tcW w:w="3092" w:type="dxa"/>
            <w:gridSpan w:val="3"/>
          </w:tcPr>
          <w:p w14:paraId="5B7F025B" w14:textId="77777777" w:rsidR="005F15D8" w:rsidRDefault="005F15D8" w:rsidP="00154A95">
            <w:r>
              <w:t>Arbeiterkammer Tirol und La</w:t>
            </w:r>
            <w:r>
              <w:t>n</w:t>
            </w:r>
            <w:r>
              <w:t>desschulrat Tirol</w:t>
            </w:r>
          </w:p>
        </w:tc>
        <w:tc>
          <w:tcPr>
            <w:tcW w:w="3220" w:type="dxa"/>
          </w:tcPr>
          <w:p w14:paraId="328A49EE" w14:textId="77777777" w:rsidR="005F15D8" w:rsidRDefault="005F15D8" w:rsidP="00154A95">
            <w:pPr>
              <w:rPr>
                <w:i/>
              </w:rPr>
            </w:pPr>
            <w:r>
              <w:rPr>
                <w:i/>
              </w:rPr>
              <w:t>Workshops</w:t>
            </w:r>
          </w:p>
          <w:p w14:paraId="7E430660" w14:textId="77777777" w:rsidR="005F15D8" w:rsidRPr="00927568" w:rsidRDefault="005F15D8" w:rsidP="005F15D8">
            <w:pPr>
              <w:pStyle w:val="Listenabsatz"/>
              <w:numPr>
                <w:ilvl w:val="0"/>
                <w:numId w:val="40"/>
              </w:numPr>
            </w:pPr>
            <w:r>
              <w:t>„Schau aufs Geld“</w:t>
            </w:r>
          </w:p>
        </w:tc>
        <w:tc>
          <w:tcPr>
            <w:tcW w:w="1559" w:type="dxa"/>
          </w:tcPr>
          <w:p w14:paraId="6C5885B0" w14:textId="77777777" w:rsidR="005F15D8" w:rsidRDefault="005F15D8" w:rsidP="00154A95">
            <w:r>
              <w:t>Schüler und Schülerinnen der 8. Schu</w:t>
            </w:r>
            <w:r>
              <w:t>l</w:t>
            </w:r>
            <w:r>
              <w:t>stufe</w:t>
            </w:r>
          </w:p>
        </w:tc>
      </w:tr>
      <w:tr w:rsidR="005F15D8" w14:paraId="407275FF" w14:textId="77777777" w:rsidTr="00105B3E">
        <w:tc>
          <w:tcPr>
            <w:tcW w:w="2336" w:type="dxa"/>
          </w:tcPr>
          <w:p w14:paraId="729A3A24" w14:textId="77777777" w:rsidR="005F15D8" w:rsidRDefault="005F15D8" w:rsidP="00154A95">
            <w:r>
              <w:t>„Schau aufs Geld“</w:t>
            </w:r>
          </w:p>
        </w:tc>
        <w:tc>
          <w:tcPr>
            <w:tcW w:w="3092" w:type="dxa"/>
            <w:gridSpan w:val="3"/>
          </w:tcPr>
          <w:p w14:paraId="21B55BEF" w14:textId="77777777" w:rsidR="005F15D8" w:rsidRDefault="005F15D8" w:rsidP="00154A95">
            <w:r>
              <w:t>Arbeiterkammer Tirol und La</w:t>
            </w:r>
            <w:r>
              <w:t>n</w:t>
            </w:r>
            <w:r>
              <w:t>desschulrat Tirol</w:t>
            </w:r>
          </w:p>
        </w:tc>
        <w:tc>
          <w:tcPr>
            <w:tcW w:w="3220" w:type="dxa"/>
          </w:tcPr>
          <w:p w14:paraId="4594A608" w14:textId="77777777" w:rsidR="005F15D8" w:rsidRPr="00927568" w:rsidRDefault="005F15D8" w:rsidP="00154A95">
            <w:pPr>
              <w:rPr>
                <w:i/>
              </w:rPr>
            </w:pPr>
            <w:r>
              <w:rPr>
                <w:i/>
              </w:rPr>
              <w:t>Lehrunterlagen</w:t>
            </w:r>
          </w:p>
        </w:tc>
        <w:tc>
          <w:tcPr>
            <w:tcW w:w="1559" w:type="dxa"/>
          </w:tcPr>
          <w:p w14:paraId="72B2624F" w14:textId="77777777" w:rsidR="005F15D8" w:rsidRDefault="005F15D8" w:rsidP="00154A95">
            <w:r>
              <w:t>Lehrer und Lehrerinnen</w:t>
            </w:r>
          </w:p>
        </w:tc>
      </w:tr>
      <w:tr w:rsidR="005F15D8" w14:paraId="3B77342A" w14:textId="77777777" w:rsidTr="00105B3E">
        <w:tc>
          <w:tcPr>
            <w:tcW w:w="2336" w:type="dxa"/>
          </w:tcPr>
          <w:p w14:paraId="022596E0" w14:textId="77777777" w:rsidR="005F15D8" w:rsidRDefault="005F15D8" w:rsidP="00154A95">
            <w:r>
              <w:t>Wirtschaft</w:t>
            </w:r>
          </w:p>
        </w:tc>
        <w:tc>
          <w:tcPr>
            <w:tcW w:w="3092" w:type="dxa"/>
            <w:gridSpan w:val="3"/>
          </w:tcPr>
          <w:p w14:paraId="7719BDAD" w14:textId="77777777" w:rsidR="005F15D8" w:rsidRDefault="005F15D8" w:rsidP="00154A95">
            <w:r>
              <w:t>Arbeiterkammer Tirol</w:t>
            </w:r>
          </w:p>
        </w:tc>
        <w:tc>
          <w:tcPr>
            <w:tcW w:w="3220" w:type="dxa"/>
          </w:tcPr>
          <w:p w14:paraId="318E9FCB" w14:textId="77777777" w:rsidR="005F15D8" w:rsidRDefault="005F15D8" w:rsidP="00154A95">
            <w:r>
              <w:t>Wirtschaftsspiel</w:t>
            </w:r>
          </w:p>
        </w:tc>
        <w:tc>
          <w:tcPr>
            <w:tcW w:w="1559" w:type="dxa"/>
          </w:tcPr>
          <w:p w14:paraId="47950896" w14:textId="77777777" w:rsidR="005F15D8" w:rsidRDefault="005F15D8" w:rsidP="00154A95">
            <w:r>
              <w:t>Schüler und Schülerinnen der 8. Schu</w:t>
            </w:r>
            <w:r>
              <w:t>l</w:t>
            </w:r>
            <w:r>
              <w:t>stufe</w:t>
            </w:r>
          </w:p>
        </w:tc>
      </w:tr>
      <w:tr w:rsidR="005F15D8" w14:paraId="4C06C20E" w14:textId="77777777" w:rsidTr="00105B3E">
        <w:tc>
          <w:tcPr>
            <w:tcW w:w="2336" w:type="dxa"/>
          </w:tcPr>
          <w:p w14:paraId="671908A5" w14:textId="77777777" w:rsidR="005F15D8" w:rsidRDefault="005F15D8" w:rsidP="00154A95">
            <w:r>
              <w:t>„Fit fürs Geld“</w:t>
            </w:r>
          </w:p>
        </w:tc>
        <w:tc>
          <w:tcPr>
            <w:tcW w:w="3092" w:type="dxa"/>
            <w:gridSpan w:val="3"/>
          </w:tcPr>
          <w:p w14:paraId="466D9688" w14:textId="77777777" w:rsidR="005F15D8" w:rsidRDefault="005F15D8" w:rsidP="005F15D8">
            <w:pPr>
              <w:pStyle w:val="Listenabsatz"/>
              <w:numPr>
                <w:ilvl w:val="0"/>
                <w:numId w:val="40"/>
              </w:numPr>
            </w:pPr>
            <w:r>
              <w:t>Arbeiterkammer Vo</w:t>
            </w:r>
            <w:r>
              <w:t>r</w:t>
            </w:r>
            <w:r>
              <w:t>arlberg</w:t>
            </w:r>
          </w:p>
          <w:p w14:paraId="7534AB28" w14:textId="77777777" w:rsidR="005F15D8" w:rsidRDefault="005F15D8" w:rsidP="005F15D8">
            <w:pPr>
              <w:pStyle w:val="Listenabsatz"/>
              <w:numPr>
                <w:ilvl w:val="0"/>
                <w:numId w:val="40"/>
              </w:numPr>
            </w:pPr>
            <w:r>
              <w:t>Institut für Sozialdien</w:t>
            </w:r>
            <w:r>
              <w:t>s</w:t>
            </w:r>
            <w:r>
              <w:t>te Vorarlberg</w:t>
            </w:r>
          </w:p>
          <w:p w14:paraId="00970FE0" w14:textId="77777777" w:rsidR="005F15D8" w:rsidRDefault="005F15D8" w:rsidP="005F15D8">
            <w:pPr>
              <w:pStyle w:val="Listenabsatz"/>
              <w:numPr>
                <w:ilvl w:val="0"/>
                <w:numId w:val="40"/>
              </w:numPr>
            </w:pPr>
            <w:r>
              <w:t>Jugendzentrum aha Vorarlberg</w:t>
            </w:r>
          </w:p>
          <w:p w14:paraId="3E48BEE5" w14:textId="77777777" w:rsidR="005F15D8" w:rsidRDefault="005F15D8" w:rsidP="005F15D8">
            <w:pPr>
              <w:pStyle w:val="Listenabsatz"/>
              <w:numPr>
                <w:ilvl w:val="0"/>
                <w:numId w:val="40"/>
              </w:numPr>
            </w:pPr>
            <w:r>
              <w:t>Arbeitsmarktservice</w:t>
            </w:r>
          </w:p>
          <w:p w14:paraId="07D02BB7" w14:textId="77777777" w:rsidR="005F15D8" w:rsidRDefault="005F15D8" w:rsidP="005F15D8">
            <w:pPr>
              <w:pStyle w:val="Listenabsatz"/>
              <w:numPr>
                <w:ilvl w:val="0"/>
                <w:numId w:val="40"/>
              </w:numPr>
            </w:pPr>
            <w:r>
              <w:t>Wirtschaftsverband Vorarlberg und</w:t>
            </w:r>
          </w:p>
          <w:p w14:paraId="5829C639" w14:textId="77777777" w:rsidR="005F15D8" w:rsidRDefault="005F15D8" w:rsidP="005F15D8">
            <w:pPr>
              <w:pStyle w:val="Listenabsatz"/>
              <w:numPr>
                <w:ilvl w:val="0"/>
                <w:numId w:val="40"/>
              </w:numPr>
            </w:pPr>
            <w:r>
              <w:t>Österreichische Banken</w:t>
            </w:r>
          </w:p>
        </w:tc>
        <w:tc>
          <w:tcPr>
            <w:tcW w:w="3220" w:type="dxa"/>
          </w:tcPr>
          <w:p w14:paraId="55A66221" w14:textId="77777777" w:rsidR="005F15D8" w:rsidRPr="00734C11" w:rsidRDefault="005F15D8" w:rsidP="00154A95">
            <w:pPr>
              <w:rPr>
                <w:i/>
              </w:rPr>
            </w:pPr>
            <w:r>
              <w:rPr>
                <w:i/>
              </w:rPr>
              <w:t>Finanzführerschein, einschließlich Workshops</w:t>
            </w:r>
          </w:p>
        </w:tc>
        <w:tc>
          <w:tcPr>
            <w:tcW w:w="1559" w:type="dxa"/>
          </w:tcPr>
          <w:p w14:paraId="6B0F7BA1" w14:textId="77777777" w:rsidR="005F15D8" w:rsidRDefault="005F15D8" w:rsidP="00154A95">
            <w:r>
              <w:t>Schüler und Schülerinnen von allgemein-bildenden, höheren Sch</w:t>
            </w:r>
            <w:r>
              <w:t>u</w:t>
            </w:r>
            <w:r>
              <w:t>len (Unter- und Oberst</w:t>
            </w:r>
            <w:r>
              <w:t>u</w:t>
            </w:r>
            <w:r>
              <w:t>fe)</w:t>
            </w:r>
          </w:p>
        </w:tc>
      </w:tr>
      <w:tr w:rsidR="005F15D8" w14:paraId="6340A43D" w14:textId="77777777" w:rsidTr="00105B3E">
        <w:tc>
          <w:tcPr>
            <w:tcW w:w="2336" w:type="dxa"/>
          </w:tcPr>
          <w:p w14:paraId="3A4F6296" w14:textId="77777777" w:rsidR="005F15D8" w:rsidRDefault="005F15D8" w:rsidP="00154A95">
            <w:r>
              <w:t>„Wir bringen die Wir</w:t>
            </w:r>
            <w:r>
              <w:t>t</w:t>
            </w:r>
            <w:r>
              <w:t>schaft ins Klassenzi</w:t>
            </w:r>
            <w:r>
              <w:t>m</w:t>
            </w:r>
            <w:r>
              <w:t>mer“</w:t>
            </w:r>
          </w:p>
        </w:tc>
        <w:tc>
          <w:tcPr>
            <w:tcW w:w="3092" w:type="dxa"/>
            <w:gridSpan w:val="3"/>
          </w:tcPr>
          <w:p w14:paraId="1285E39F" w14:textId="77777777" w:rsidR="005F15D8" w:rsidRDefault="005F15D8" w:rsidP="005F15D8">
            <w:pPr>
              <w:pStyle w:val="Listenabsatz"/>
              <w:numPr>
                <w:ilvl w:val="0"/>
                <w:numId w:val="40"/>
              </w:numPr>
            </w:pPr>
            <w:r>
              <w:t>Wirtschaftskammer Ö</w:t>
            </w:r>
            <w:r>
              <w:t>s</w:t>
            </w:r>
            <w:r>
              <w:t>terreich</w:t>
            </w:r>
          </w:p>
          <w:p w14:paraId="3579F70C" w14:textId="77777777" w:rsidR="005F15D8" w:rsidRDefault="005F15D8" w:rsidP="005F15D8">
            <w:pPr>
              <w:pStyle w:val="Listenabsatz"/>
              <w:numPr>
                <w:ilvl w:val="0"/>
                <w:numId w:val="40"/>
              </w:numPr>
            </w:pPr>
            <w:r>
              <w:t>Arbeitsgemeinschaft Wirtschaft und Schule und</w:t>
            </w:r>
          </w:p>
          <w:p w14:paraId="23074840" w14:textId="77777777" w:rsidR="005F15D8" w:rsidRDefault="005F15D8" w:rsidP="005F15D8">
            <w:pPr>
              <w:pStyle w:val="Listenabsatz"/>
              <w:numPr>
                <w:ilvl w:val="0"/>
                <w:numId w:val="40"/>
              </w:numPr>
            </w:pPr>
            <w:r>
              <w:t>Österreichischer Spa</w:t>
            </w:r>
            <w:r>
              <w:t>r</w:t>
            </w:r>
            <w:r>
              <w:t>kassenverband</w:t>
            </w:r>
          </w:p>
        </w:tc>
        <w:tc>
          <w:tcPr>
            <w:tcW w:w="3220" w:type="dxa"/>
          </w:tcPr>
          <w:p w14:paraId="696B7E43" w14:textId="77777777" w:rsidR="005F15D8" w:rsidRDefault="005F15D8" w:rsidP="00154A95">
            <w:pPr>
              <w:rPr>
                <w:i/>
              </w:rPr>
            </w:pPr>
            <w:r>
              <w:rPr>
                <w:i/>
              </w:rPr>
              <w:t>Lehrunterlagen</w:t>
            </w:r>
          </w:p>
          <w:p w14:paraId="5BD7C753" w14:textId="77777777" w:rsidR="005F15D8" w:rsidRDefault="005F15D8" w:rsidP="005F15D8">
            <w:pPr>
              <w:pStyle w:val="Listenabsatz"/>
              <w:numPr>
                <w:ilvl w:val="0"/>
                <w:numId w:val="41"/>
              </w:numPr>
            </w:pPr>
            <w:r>
              <w:t>Bank- und Versich</w:t>
            </w:r>
            <w:r>
              <w:t>e</w:t>
            </w:r>
            <w:r>
              <w:t>rungswesen</w:t>
            </w:r>
          </w:p>
          <w:p w14:paraId="0006A614" w14:textId="77777777" w:rsidR="005F15D8" w:rsidRDefault="005F15D8" w:rsidP="005F15D8">
            <w:pPr>
              <w:pStyle w:val="Listenabsatz"/>
              <w:numPr>
                <w:ilvl w:val="0"/>
                <w:numId w:val="41"/>
              </w:numPr>
            </w:pPr>
            <w:r>
              <w:t>Tourismus und Freizeit</w:t>
            </w:r>
          </w:p>
          <w:p w14:paraId="1A1E0876" w14:textId="77777777" w:rsidR="005F15D8" w:rsidRDefault="005F15D8" w:rsidP="005F15D8">
            <w:pPr>
              <w:pStyle w:val="Listenabsatz"/>
              <w:numPr>
                <w:ilvl w:val="0"/>
                <w:numId w:val="41"/>
              </w:numPr>
            </w:pPr>
            <w:r>
              <w:t>Unternehmensdienstlei</w:t>
            </w:r>
            <w:r>
              <w:t>s</w:t>
            </w:r>
            <w:r>
              <w:t>tungen</w:t>
            </w:r>
          </w:p>
          <w:p w14:paraId="0D375D61" w14:textId="77777777" w:rsidR="005F15D8" w:rsidRDefault="005F15D8" w:rsidP="005F15D8">
            <w:pPr>
              <w:pStyle w:val="Listenabsatz"/>
              <w:numPr>
                <w:ilvl w:val="0"/>
                <w:numId w:val="41"/>
              </w:numPr>
            </w:pPr>
            <w:r>
              <w:t>Handel und Industrie</w:t>
            </w:r>
          </w:p>
          <w:p w14:paraId="20061073" w14:textId="77777777" w:rsidR="005F15D8" w:rsidRDefault="005F15D8" w:rsidP="005F15D8">
            <w:pPr>
              <w:pStyle w:val="Listenabsatz"/>
              <w:numPr>
                <w:ilvl w:val="0"/>
                <w:numId w:val="41"/>
              </w:numPr>
            </w:pPr>
            <w:r>
              <w:t>Transportwesen und Verkehr</w:t>
            </w:r>
          </w:p>
          <w:p w14:paraId="23B1D4A1" w14:textId="77777777" w:rsidR="005F15D8" w:rsidRDefault="005F15D8" w:rsidP="005F15D8">
            <w:pPr>
              <w:pStyle w:val="Listenabsatz"/>
              <w:numPr>
                <w:ilvl w:val="0"/>
                <w:numId w:val="41"/>
              </w:numPr>
            </w:pPr>
            <w:r>
              <w:t>Industrie und Handel in Österreich</w:t>
            </w:r>
          </w:p>
          <w:p w14:paraId="7836E569" w14:textId="77777777" w:rsidR="005F15D8" w:rsidRDefault="005F15D8" w:rsidP="005F15D8">
            <w:pPr>
              <w:pStyle w:val="Listenabsatz"/>
              <w:numPr>
                <w:ilvl w:val="0"/>
                <w:numId w:val="41"/>
              </w:numPr>
            </w:pPr>
            <w:r>
              <w:t>Zahlen und Fakten – die österreichische Wir</w:t>
            </w:r>
            <w:r>
              <w:t>t</w:t>
            </w:r>
            <w:r>
              <w:t>schaft</w:t>
            </w:r>
          </w:p>
          <w:p w14:paraId="6D0BE930" w14:textId="77777777" w:rsidR="005F15D8" w:rsidRDefault="005F15D8" w:rsidP="005F15D8">
            <w:pPr>
              <w:pStyle w:val="Listenabsatz"/>
              <w:numPr>
                <w:ilvl w:val="0"/>
                <w:numId w:val="41"/>
              </w:numPr>
            </w:pPr>
            <w:r>
              <w:t>Österreichs Chancen auf den Weltmärkten</w:t>
            </w:r>
          </w:p>
          <w:p w14:paraId="7CFDB837" w14:textId="77777777" w:rsidR="005F15D8" w:rsidRDefault="005F15D8" w:rsidP="005F15D8">
            <w:pPr>
              <w:pStyle w:val="Listenabsatz"/>
              <w:numPr>
                <w:ilvl w:val="0"/>
                <w:numId w:val="41"/>
              </w:numPr>
            </w:pPr>
            <w:r>
              <w:t>Wie funktioniert Wir</w:t>
            </w:r>
            <w:r>
              <w:t>t</w:t>
            </w:r>
            <w:r>
              <w:t>schaft?</w:t>
            </w:r>
          </w:p>
          <w:p w14:paraId="2C9117D5" w14:textId="77777777" w:rsidR="005F15D8" w:rsidRPr="00464A31" w:rsidRDefault="005F15D8" w:rsidP="005F15D8">
            <w:pPr>
              <w:pStyle w:val="Listenabsatz"/>
              <w:numPr>
                <w:ilvl w:val="0"/>
                <w:numId w:val="41"/>
              </w:numPr>
            </w:pPr>
            <w:r>
              <w:t>Wirtschaft im Alltag</w:t>
            </w:r>
          </w:p>
        </w:tc>
        <w:tc>
          <w:tcPr>
            <w:tcW w:w="1559" w:type="dxa"/>
          </w:tcPr>
          <w:p w14:paraId="554C17FA" w14:textId="77777777" w:rsidR="005F15D8" w:rsidRDefault="005F15D8" w:rsidP="00154A95">
            <w:r>
              <w:t>Lehrer und Lehrerinnen</w:t>
            </w:r>
          </w:p>
        </w:tc>
      </w:tr>
      <w:tr w:rsidR="005F15D8" w14:paraId="51A789E2" w14:textId="77777777" w:rsidTr="00105B3E">
        <w:tc>
          <w:tcPr>
            <w:tcW w:w="2342" w:type="dxa"/>
            <w:gridSpan w:val="2"/>
          </w:tcPr>
          <w:p w14:paraId="6E5499D3" w14:textId="77777777" w:rsidR="005F15D8" w:rsidRDefault="005F15D8" w:rsidP="00154A95">
            <w:r>
              <w:t>Geld und Finanzpol</w:t>
            </w:r>
            <w:r>
              <w:t>i</w:t>
            </w:r>
            <w:r>
              <w:t>tik</w:t>
            </w:r>
          </w:p>
        </w:tc>
        <w:tc>
          <w:tcPr>
            <w:tcW w:w="3080" w:type="dxa"/>
          </w:tcPr>
          <w:p w14:paraId="3E9E2924" w14:textId="77777777" w:rsidR="005F15D8" w:rsidRDefault="005F15D8" w:rsidP="00154A95">
            <w:r>
              <w:t>Österreichische Nationalbank</w:t>
            </w:r>
          </w:p>
        </w:tc>
        <w:tc>
          <w:tcPr>
            <w:tcW w:w="3226" w:type="dxa"/>
            <w:gridSpan w:val="2"/>
          </w:tcPr>
          <w:p w14:paraId="549D1CB9" w14:textId="77777777" w:rsidR="005F15D8" w:rsidRPr="008E0F84" w:rsidRDefault="005F15D8" w:rsidP="00154A95">
            <w:pPr>
              <w:rPr>
                <w:i/>
              </w:rPr>
            </w:pPr>
            <w:r>
              <w:rPr>
                <w:i/>
              </w:rPr>
              <w:t>Lehrunterlagen</w:t>
            </w:r>
          </w:p>
        </w:tc>
        <w:tc>
          <w:tcPr>
            <w:tcW w:w="1559" w:type="dxa"/>
          </w:tcPr>
          <w:p w14:paraId="2A63CC76" w14:textId="77777777" w:rsidR="005F15D8" w:rsidRDefault="005F15D8" w:rsidP="00154A95">
            <w:r>
              <w:t>Lehrer und Lehrerinnen</w:t>
            </w:r>
          </w:p>
        </w:tc>
      </w:tr>
      <w:tr w:rsidR="005F15D8" w14:paraId="59EC46DB" w14:textId="77777777" w:rsidTr="00105B3E">
        <w:tc>
          <w:tcPr>
            <w:tcW w:w="2342" w:type="dxa"/>
            <w:gridSpan w:val="2"/>
          </w:tcPr>
          <w:p w14:paraId="236173BA" w14:textId="77777777" w:rsidR="005F15D8" w:rsidRDefault="005F15D8" w:rsidP="00154A95">
            <w:r>
              <w:t>Wissensfabrik</w:t>
            </w:r>
          </w:p>
        </w:tc>
        <w:tc>
          <w:tcPr>
            <w:tcW w:w="3080" w:type="dxa"/>
          </w:tcPr>
          <w:p w14:paraId="6CA16B21" w14:textId="77777777" w:rsidR="005F15D8" w:rsidRDefault="005F15D8" w:rsidP="00154A95">
            <w:r>
              <w:t>Bank Austria Unicredit und Österreichisches Gesellschafts- und Wirtschaftsmuseum</w:t>
            </w:r>
          </w:p>
        </w:tc>
        <w:tc>
          <w:tcPr>
            <w:tcW w:w="3226" w:type="dxa"/>
            <w:gridSpan w:val="2"/>
          </w:tcPr>
          <w:p w14:paraId="0797B28C" w14:textId="77777777" w:rsidR="005F15D8" w:rsidRDefault="005F15D8" w:rsidP="00154A95">
            <w:pPr>
              <w:rPr>
                <w:i/>
              </w:rPr>
            </w:pPr>
            <w:r>
              <w:rPr>
                <w:i/>
              </w:rPr>
              <w:t>Workshops</w:t>
            </w:r>
          </w:p>
          <w:p w14:paraId="61A96B5D" w14:textId="77777777" w:rsidR="005F15D8" w:rsidRDefault="005F15D8" w:rsidP="005F15D8">
            <w:pPr>
              <w:pStyle w:val="Listenabsatz"/>
              <w:numPr>
                <w:ilvl w:val="0"/>
                <w:numId w:val="42"/>
              </w:numPr>
            </w:pPr>
            <w:r>
              <w:t>Finanzprodukte</w:t>
            </w:r>
          </w:p>
          <w:p w14:paraId="3B88CC11" w14:textId="77777777" w:rsidR="005F15D8" w:rsidRDefault="005F15D8" w:rsidP="005F15D8">
            <w:pPr>
              <w:pStyle w:val="Listenabsatz"/>
              <w:numPr>
                <w:ilvl w:val="0"/>
                <w:numId w:val="42"/>
              </w:numPr>
            </w:pPr>
            <w:r>
              <w:t>Privathaushalt</w:t>
            </w:r>
          </w:p>
          <w:p w14:paraId="0A0976A1" w14:textId="77777777" w:rsidR="005F15D8" w:rsidRDefault="005F15D8" w:rsidP="005F15D8">
            <w:pPr>
              <w:pStyle w:val="Listenabsatz"/>
              <w:numPr>
                <w:ilvl w:val="0"/>
                <w:numId w:val="42"/>
              </w:numPr>
            </w:pPr>
            <w:r>
              <w:t>Geldfunktion</w:t>
            </w:r>
          </w:p>
          <w:p w14:paraId="2818B8C9" w14:textId="77777777" w:rsidR="005F15D8" w:rsidRPr="00882F36" w:rsidRDefault="005F15D8" w:rsidP="005F15D8">
            <w:pPr>
              <w:pStyle w:val="Listenabsatz"/>
              <w:numPr>
                <w:ilvl w:val="0"/>
                <w:numId w:val="42"/>
              </w:numPr>
            </w:pPr>
            <w:r>
              <w:t>Aufgaben einer Bank</w:t>
            </w:r>
          </w:p>
        </w:tc>
        <w:tc>
          <w:tcPr>
            <w:tcW w:w="1559" w:type="dxa"/>
          </w:tcPr>
          <w:p w14:paraId="5775B6A2" w14:textId="77777777" w:rsidR="005F15D8" w:rsidRDefault="005F15D8" w:rsidP="00154A95">
            <w:r>
              <w:t>Schüler und Schülerinnen</w:t>
            </w:r>
          </w:p>
        </w:tc>
      </w:tr>
    </w:tbl>
    <w:p w14:paraId="58672FE0" w14:textId="77777777" w:rsidR="005F15D8" w:rsidRDefault="005F15D8" w:rsidP="005F15D8">
      <w:r>
        <w:t>Tabelle 2: Quelle: Webseiten verschiedener österreichischer Einrichtungen, 2013</w:t>
      </w:r>
    </w:p>
    <w:p w14:paraId="09A488EF" w14:textId="77777777" w:rsidR="005F15D8" w:rsidRDefault="005F15D8" w:rsidP="005F15D8"/>
    <w:p w14:paraId="0825E32A" w14:textId="77777777" w:rsidR="005F15D8" w:rsidRDefault="005F15D8" w:rsidP="00105B3E">
      <w:pPr>
        <w:jc w:val="both"/>
      </w:pPr>
      <w:r>
        <w:t>Ein weiteres Projekt, das von der Europäischen Kommission initiiert wurde, ist Dolceta. Dieses bietet vollständige Lehrunterlagen, einschließlich Unterrichtsmethoden, für Lehrer und Lehrerinnen an Volksschulen und Pflichtschulen an. Es gibt ein laufendes Angebot an Informationsmaterialien, aber leider gibt es während des Unterrichts meist zu wenig Zeit, damit sich Lehrer/Lehrerinnen sowie Schüler/Schülerinnen ausreichend mit der Finanzbildung auseinander setzen können. Daher sollten Lehrer und Lehrerinnen darin unterstützt werden, verpflichtende Inhalte mit der Thematik zu komb</w:t>
      </w:r>
      <w:r>
        <w:t>i</w:t>
      </w:r>
      <w:r>
        <w:t>nieren. Darüber hinaus gibt es keine speziellen Weiterbildungsangebote für Lehrer und Lehrerinnen, die sich mit den Themen Finanzen und Versicherung beschäftigen, damit das Lehrpersonal immer am aktuellen Stand bleibt. In Österreich müssen Lehrer und Lehrerinnen an Fortbildungsveranstaltungen teilnehmen. Daher hat es sich dieses Projekt zum Ziel gesetzt, diese Trainings für Lehrer und Lehr</w:t>
      </w:r>
      <w:r>
        <w:t>e</w:t>
      </w:r>
      <w:r>
        <w:t>rinnen anzubieten, die Unterricht auf dem Gebiet der Finanzbildung erteilen möchten.</w:t>
      </w:r>
    </w:p>
    <w:p w14:paraId="6AA3E3C7" w14:textId="77777777" w:rsidR="00DC36D6" w:rsidRPr="005F15D8" w:rsidRDefault="00DC36D6" w:rsidP="00105B3E">
      <w:pPr>
        <w:spacing w:after="0" w:line="360" w:lineRule="auto"/>
        <w:jc w:val="both"/>
        <w:rPr>
          <w:rFonts w:ascii="Arial" w:hAnsi="Arial" w:cs="Arial"/>
        </w:rPr>
      </w:pPr>
    </w:p>
    <w:p w14:paraId="2C663B8F" w14:textId="3327482E" w:rsidR="00DC36D6" w:rsidRPr="00925436" w:rsidRDefault="005F15D8" w:rsidP="00105B3E">
      <w:pPr>
        <w:pStyle w:val="berschrift3"/>
        <w:numPr>
          <w:ilvl w:val="2"/>
          <w:numId w:val="18"/>
        </w:numPr>
        <w:spacing w:before="240" w:after="120" w:line="240" w:lineRule="auto"/>
        <w:jc w:val="both"/>
        <w:rPr>
          <w:rFonts w:ascii="Arial" w:hAnsi="Arial" w:cs="Arial"/>
          <w:i/>
          <w:color w:val="auto"/>
          <w:sz w:val="24"/>
          <w:lang w:val="en-GB"/>
        </w:rPr>
      </w:pPr>
      <w:bookmarkStart w:id="7" w:name="_Toc373498155"/>
      <w:proofErr w:type="spellStart"/>
      <w:r>
        <w:rPr>
          <w:rFonts w:ascii="Arial" w:hAnsi="Arial" w:cs="Arial"/>
          <w:i/>
          <w:color w:val="auto"/>
          <w:sz w:val="24"/>
          <w:lang w:val="en-GB"/>
        </w:rPr>
        <w:t>Partnerschule</w:t>
      </w:r>
      <w:proofErr w:type="spellEnd"/>
      <w:r>
        <w:rPr>
          <w:rFonts w:ascii="Arial" w:hAnsi="Arial" w:cs="Arial"/>
          <w:i/>
          <w:color w:val="auto"/>
          <w:sz w:val="24"/>
          <w:lang w:val="en-GB"/>
        </w:rPr>
        <w:t xml:space="preserve"> </w:t>
      </w:r>
      <w:proofErr w:type="spellStart"/>
      <w:r>
        <w:rPr>
          <w:rFonts w:ascii="Arial" w:hAnsi="Arial" w:cs="Arial"/>
          <w:i/>
          <w:color w:val="auto"/>
          <w:sz w:val="24"/>
          <w:lang w:val="en-GB"/>
        </w:rPr>
        <w:t>im</w:t>
      </w:r>
      <w:proofErr w:type="spellEnd"/>
      <w:r>
        <w:rPr>
          <w:rFonts w:ascii="Arial" w:hAnsi="Arial" w:cs="Arial"/>
          <w:i/>
          <w:color w:val="auto"/>
          <w:sz w:val="24"/>
          <w:lang w:val="en-GB"/>
        </w:rPr>
        <w:t xml:space="preserve"> Projekt</w:t>
      </w:r>
      <w:bookmarkEnd w:id="7"/>
      <w:r>
        <w:rPr>
          <w:rFonts w:ascii="Arial" w:hAnsi="Arial" w:cs="Arial"/>
          <w:i/>
          <w:color w:val="auto"/>
          <w:sz w:val="24"/>
          <w:lang w:val="en-GB"/>
        </w:rPr>
        <w:t xml:space="preserve"> </w:t>
      </w:r>
    </w:p>
    <w:p w14:paraId="326596DD" w14:textId="77777777" w:rsidR="005F15D8" w:rsidRDefault="005F15D8" w:rsidP="00105B3E">
      <w:pPr>
        <w:jc w:val="both"/>
      </w:pPr>
      <w:r>
        <w:t>Das BG/BRG Kirchengasse ist ein Gymnasium, das über eine lange Tradition sowie über Offe</w:t>
      </w:r>
      <w:r>
        <w:t>n</w:t>
      </w:r>
      <w:r>
        <w:t>heit gegenüber Veränderungen innerhalb der Gesellschaft verfügt. Wir bieten die Sprachen Englisch, Ital</w:t>
      </w:r>
      <w:r>
        <w:t>i</w:t>
      </w:r>
      <w:r>
        <w:t>enisch, Spanisch, Latein, Russisch und Persisch an. Für Schüler und Schülerinnen, die überdurc</w:t>
      </w:r>
      <w:r>
        <w:t>h</w:t>
      </w:r>
      <w:r>
        <w:t>schnittlich sprachbegabt sind, bieten wir außerdem zweisprachigen Unterricht auf Englisch an. Wi</w:t>
      </w:r>
      <w:r>
        <w:t>s</w:t>
      </w:r>
      <w:r>
        <w:t>senschaftliche Themen werden im Wissenschaftszweig unserer Schule gelehrt und vertieft. Wir ko</w:t>
      </w:r>
      <w:r>
        <w:t>n</w:t>
      </w:r>
      <w:r>
        <w:t>zentrieren uns besonders auf unabhängige Unterrichtsfächer wie Kommunikation und Präsentation</w:t>
      </w:r>
      <w:r>
        <w:t>s</w:t>
      </w:r>
      <w:r>
        <w:t>fertigkeiten, aber auch auf Projektmanagement, Wirtschaftskomp</w:t>
      </w:r>
      <w:r>
        <w:t>e</w:t>
      </w:r>
      <w:r>
        <w:t>tenz und die Förderung sozialer Kompetenz und Integration. Im Jahr 2010 erhielten wir die Qualitätsauszeichnung „Best Practice School“ für unsere schulische Tagesbetreuung und unseren Unterricht. Ein umfangreiches Sprache</w:t>
      </w:r>
      <w:r>
        <w:t>n</w:t>
      </w:r>
      <w:r>
        <w:t>angebot sowie der Zugang zu wissenschaftlicher, sozi</w:t>
      </w:r>
      <w:r>
        <w:t>a</w:t>
      </w:r>
      <w:r>
        <w:t>ler und kommunikativer Kompetenz stellen ebenso wichtige Bestandteile unserer Schulkultur dar.</w:t>
      </w:r>
    </w:p>
    <w:p w14:paraId="60298C4A" w14:textId="77777777" w:rsidR="00105B3E" w:rsidRDefault="00105B3E" w:rsidP="00105B3E">
      <w:pPr>
        <w:jc w:val="both"/>
      </w:pPr>
    </w:p>
    <w:p w14:paraId="21B7060B" w14:textId="5B3A8694" w:rsidR="00DC36D6" w:rsidRPr="00880167" w:rsidRDefault="00880167" w:rsidP="00DC36D6">
      <w:pPr>
        <w:spacing w:before="240" w:after="120" w:line="360" w:lineRule="auto"/>
        <w:jc w:val="both"/>
        <w:rPr>
          <w:rFonts w:ascii="Arial" w:hAnsi="Arial" w:cs="Arial"/>
          <w:sz w:val="24"/>
          <w:u w:val="single"/>
        </w:rPr>
      </w:pPr>
      <w:r>
        <w:rPr>
          <w:rFonts w:ascii="Arial" w:hAnsi="Arial" w:cs="Arial"/>
          <w:sz w:val="24"/>
          <w:u w:val="single"/>
        </w:rPr>
        <w:t xml:space="preserve">Lehrplan der Partnerschule </w:t>
      </w:r>
    </w:p>
    <w:p w14:paraId="4A217DDB" w14:textId="77777777" w:rsidR="00880167" w:rsidRPr="001B27F7" w:rsidRDefault="00880167" w:rsidP="00105B3E">
      <w:pPr>
        <w:jc w:val="both"/>
      </w:pPr>
      <w:r>
        <w:t>Die Partnerschule arbeitet anhand des Lehrplans für allgemeinbildende, höhere Schulen: BGBI. Nr. 88/1985, geändert durch BGBI. II Nr. 352/2012</w:t>
      </w:r>
    </w:p>
    <w:p w14:paraId="252E01CB" w14:textId="77777777" w:rsidR="00DC36D6" w:rsidRPr="0094476F" w:rsidRDefault="00DC36D6" w:rsidP="00105B3E">
      <w:pPr>
        <w:spacing w:after="0" w:line="360" w:lineRule="auto"/>
        <w:jc w:val="both"/>
        <w:rPr>
          <w:rFonts w:ascii="Arial" w:hAnsi="Arial" w:cs="Arial"/>
          <w:lang w:val="en-GB"/>
        </w:rPr>
      </w:pPr>
    </w:p>
    <w:p w14:paraId="71077D7E" w14:textId="4579948B" w:rsidR="00DC36D6" w:rsidRPr="0094476F" w:rsidRDefault="00880167" w:rsidP="00105B3E">
      <w:pPr>
        <w:spacing w:before="240" w:after="120" w:line="360" w:lineRule="auto"/>
        <w:jc w:val="both"/>
        <w:rPr>
          <w:rFonts w:ascii="Arial" w:hAnsi="Arial" w:cs="Arial"/>
          <w:sz w:val="24"/>
          <w:u w:val="single"/>
          <w:lang w:val="en-GB"/>
        </w:rPr>
      </w:pPr>
      <w:proofErr w:type="spellStart"/>
      <w:r>
        <w:rPr>
          <w:rFonts w:ascii="Arial" w:hAnsi="Arial" w:cs="Arial"/>
          <w:sz w:val="24"/>
          <w:u w:val="single"/>
          <w:lang w:val="en-GB"/>
        </w:rPr>
        <w:t>Ergebnisse</w:t>
      </w:r>
      <w:proofErr w:type="spellEnd"/>
      <w:r>
        <w:rPr>
          <w:rFonts w:ascii="Arial" w:hAnsi="Arial" w:cs="Arial"/>
          <w:sz w:val="24"/>
          <w:u w:val="single"/>
          <w:lang w:val="en-GB"/>
        </w:rPr>
        <w:t xml:space="preserve"> der </w:t>
      </w:r>
      <w:proofErr w:type="spellStart"/>
      <w:r>
        <w:rPr>
          <w:rFonts w:ascii="Arial" w:hAnsi="Arial" w:cs="Arial"/>
          <w:sz w:val="24"/>
          <w:u w:val="single"/>
          <w:lang w:val="en-GB"/>
        </w:rPr>
        <w:t>Lückenanalyse</w:t>
      </w:r>
      <w:proofErr w:type="spellEnd"/>
      <w:r>
        <w:rPr>
          <w:rFonts w:ascii="Arial" w:hAnsi="Arial" w:cs="Arial"/>
          <w:sz w:val="24"/>
          <w:u w:val="single"/>
          <w:lang w:val="en-GB"/>
        </w:rPr>
        <w:t xml:space="preserve"> </w:t>
      </w:r>
    </w:p>
    <w:p w14:paraId="01D44815" w14:textId="77777777" w:rsidR="00880167" w:rsidRDefault="00880167" w:rsidP="00105B3E">
      <w:pPr>
        <w:jc w:val="both"/>
      </w:pPr>
      <w:r>
        <w:t>Die Gap-Analyse hat gezeigt, dass es einen Mangel an Finanzbildung innerhalb des Lehrplans für al</w:t>
      </w:r>
      <w:r>
        <w:t>l</w:t>
      </w:r>
      <w:r>
        <w:t>gemeinbildende, höhere Schulen in Österreich gibt. Das einzige Unterrichtsfach, in dem Themen der Finanzbildung behandelt werden, sind Geografie und Wirtschaftskunde. Zwischen der 5. und der 12. Schulstufe (was einer Altersgruppe zwischen 10 und 18 Jahren entspricht), werden den Schülern und Schülerinnen unter anderem die Themen Wirtschaft, Konjunkturzyklus, Geld, Umgang mit Einna</w:t>
      </w:r>
      <w:r>
        <w:t>h</w:t>
      </w:r>
      <w:r>
        <w:t>men und Ausgaben im Haushalt und in Unternehmen, die Europäische Union, der Markt und Preisg</w:t>
      </w:r>
      <w:r>
        <w:t>e</w:t>
      </w:r>
      <w:r>
        <w:t>staltung nähergebracht. Diese Themen sind im Lehrplan festgeschrieben und sind auch Teil der ve</w:t>
      </w:r>
      <w:r>
        <w:t>r</w:t>
      </w:r>
      <w:r>
        <w:t>wendeten Schulbücher. Innerhalb des Lehrplans gibt es noch weitere Themen, wie das Pensionssy</w:t>
      </w:r>
      <w:r>
        <w:t>s</w:t>
      </w:r>
      <w:r>
        <w:t>tem, Versicherungsfragen oder Geldanlageoptionen (einschließlich Risiken und Chancen), aber diese Themen werden meist nicht eingehend behandelt, weil zu diesen Bereichen nur wenige Materialien für Lehrer und Lehrerinnen existieren und diese zudem auch nicht auf diesen Gebieten ausgebildet sind. Zusammenfassend kann behauptet werden, dass ein Mangel an Finanzbildung innerhalb des österreichischen Lehrplans für allgemeinbildende, höhere Schulen besteht, der verringert oder b</w:t>
      </w:r>
      <w:r>
        <w:t>e</w:t>
      </w:r>
      <w:r>
        <w:t>hoben werden kann, wenn Lehrer und Lehrerinnen z.B. durch die Bereitstellung von Lehrmaterialien gefördert und z.B. durch Workshops weitergebildet werden.</w:t>
      </w:r>
    </w:p>
    <w:p w14:paraId="47DDF32B" w14:textId="77777777" w:rsidR="00880167" w:rsidRDefault="00880167" w:rsidP="00880167"/>
    <w:p w14:paraId="2CFAAE43" w14:textId="24C37DEB" w:rsidR="00973614" w:rsidRPr="00880167" w:rsidRDefault="00973614">
      <w:pPr>
        <w:rPr>
          <w:rFonts w:ascii="Arial" w:hAnsi="Arial" w:cs="Arial"/>
        </w:rPr>
      </w:pPr>
      <w:r w:rsidRPr="00880167">
        <w:rPr>
          <w:rFonts w:ascii="Arial" w:hAnsi="Arial" w:cs="Arial"/>
        </w:rPr>
        <w:br w:type="page"/>
      </w:r>
    </w:p>
    <w:p w14:paraId="433E3E5E" w14:textId="6FAFB5D3" w:rsidR="00973614" w:rsidRPr="00973614" w:rsidRDefault="00880167" w:rsidP="00973614">
      <w:pPr>
        <w:pStyle w:val="berschrift1"/>
        <w:numPr>
          <w:ilvl w:val="0"/>
          <w:numId w:val="18"/>
        </w:numPr>
        <w:rPr>
          <w:rFonts w:ascii="Arial" w:hAnsi="Arial" w:cs="Arial"/>
          <w:color w:val="76923C" w:themeColor="accent3" w:themeShade="BF"/>
          <w:sz w:val="44"/>
          <w:lang w:val="en-US"/>
        </w:rPr>
      </w:pPr>
      <w:bookmarkStart w:id="8" w:name="_Toc373498156"/>
      <w:proofErr w:type="spellStart"/>
      <w:r>
        <w:rPr>
          <w:rFonts w:ascii="Arial" w:hAnsi="Arial" w:cs="Arial"/>
          <w:color w:val="76923C" w:themeColor="accent3" w:themeShade="BF"/>
          <w:sz w:val="44"/>
          <w:lang w:val="en-US"/>
        </w:rPr>
        <w:t>Fazit</w:t>
      </w:r>
      <w:bookmarkEnd w:id="8"/>
      <w:proofErr w:type="spellEnd"/>
    </w:p>
    <w:p w14:paraId="422E9D67" w14:textId="77777777" w:rsidR="00973614" w:rsidRDefault="00973614" w:rsidP="00973614">
      <w:pPr>
        <w:spacing w:after="0" w:line="360" w:lineRule="auto"/>
        <w:jc w:val="both"/>
        <w:rPr>
          <w:rFonts w:ascii="Arial" w:hAnsi="Arial" w:cs="Arial"/>
          <w:lang w:val="en-GB"/>
        </w:rPr>
      </w:pPr>
    </w:p>
    <w:p w14:paraId="2E3CBD70" w14:textId="77777777" w:rsidR="00880167" w:rsidRDefault="00880167" w:rsidP="00105B3E">
      <w:pPr>
        <w:jc w:val="both"/>
      </w:pPr>
      <w:r>
        <w:t>Unter Berücksichtigung all dieser Aspekte kann Finanzbildung als aktuelles Thema innerhalb der bi</w:t>
      </w:r>
      <w:r>
        <w:t>l</w:t>
      </w:r>
      <w:r>
        <w:t>dungspolitischen Debatte angesehen werden. Obwohl schon einige Initiativen in diesem Bereich init</w:t>
      </w:r>
      <w:r>
        <w:t>i</w:t>
      </w:r>
      <w:r>
        <w:t>iert wurden, z.B. für Schüler und Schülerinnen verschiedener Schulformen, ist die Finanzkompetenz von Schülern und Schülerinnen von allgemeinbildenden, höheren Schulen noch nicht weit ausgebi</w:t>
      </w:r>
      <w:r>
        <w:t>l</w:t>
      </w:r>
      <w:r>
        <w:t>det. Eines der größten Probleme stellt die Zeit dar. Innerhalb des Lehrplans für allgemeinbildende, höhere Schulen sind Finanzthemen z.B. in den Schulfächern Geografie, Mathematik und Sprachen vorgesehen. Aber da diese Themen in Schulbüchern sehr selten gut aufbereitet sind und Lehrer und Lehrerinnen an allgemeinbildenden, höheren Schulen in Themen wie Finanzprodukten oder Verm</w:t>
      </w:r>
      <w:r>
        <w:t>ö</w:t>
      </w:r>
      <w:r>
        <w:t>gensverwaltung nicht speziell ausgebildet sind, wurde die Finanzbildung bisher eher vernachlässigt. Dies ist der zentrale Arbeitsbereich, dem sich das Projekt und die Projektpartner widmen wollen. Das Hauptziel des Projektes besteht darin, Lehrer und Lehrerinnen im Umsetzungsprozess der Finanzbi</w:t>
      </w:r>
      <w:r>
        <w:t>l</w:t>
      </w:r>
      <w:r>
        <w:t>dung zu fördern, was sich in weiterer Folge – indirekt – auf die Schüler und Schülerinnen auswirkt und deren Verständnis im Bereich der Finanzbildung erhöht. Darüber hinaus sollen die Schüler und Schülerinnen Finanzkompetenz entwickeln und auf die Herausforderungen des Finanzmarktes, mit denen sie nach Abschluss der Schule konfrontiert werden, vorbereitet werden.</w:t>
      </w:r>
    </w:p>
    <w:p w14:paraId="0AF7CE24" w14:textId="77777777" w:rsidR="00880167" w:rsidRDefault="00880167">
      <w:pPr>
        <w:rPr>
          <w:rFonts w:ascii="Arial" w:hAnsi="Arial" w:cs="Arial"/>
          <w:b/>
          <w:caps/>
          <w:sz w:val="40"/>
          <w:lang w:val="en-GB"/>
        </w:rPr>
      </w:pPr>
      <w:r>
        <w:rPr>
          <w:rFonts w:ascii="Arial" w:hAnsi="Arial" w:cs="Arial"/>
          <w:b/>
          <w:caps/>
          <w:sz w:val="40"/>
          <w:lang w:val="en-GB"/>
        </w:rPr>
        <w:br w:type="page"/>
      </w:r>
    </w:p>
    <w:p w14:paraId="2DBF5CA3" w14:textId="12EBE00C" w:rsidR="00F326BD" w:rsidRPr="00F35B2A" w:rsidRDefault="00880167" w:rsidP="00332D6E">
      <w:pPr>
        <w:pStyle w:val="berschrift1"/>
        <w:numPr>
          <w:ilvl w:val="0"/>
          <w:numId w:val="0"/>
        </w:numPr>
        <w:rPr>
          <w:rFonts w:asciiTheme="minorHAnsi" w:hAnsiTheme="minorHAnsi" w:cstheme="minorHAnsi"/>
          <w:sz w:val="40"/>
          <w:szCs w:val="40"/>
          <w:lang w:val="en-US"/>
        </w:rPr>
      </w:pPr>
      <w:proofErr w:type="spellStart"/>
      <w:r w:rsidRPr="00332D6E">
        <w:rPr>
          <w:rFonts w:ascii="Arial" w:hAnsi="Arial" w:cs="Arial"/>
          <w:color w:val="76923C" w:themeColor="accent3" w:themeShade="BF"/>
          <w:sz w:val="44"/>
          <w:lang w:val="en-US"/>
        </w:rPr>
        <w:lastRenderedPageBreak/>
        <w:t>Quellen</w:t>
      </w:r>
      <w:proofErr w:type="spellEnd"/>
      <w:r w:rsidRPr="00F35B2A">
        <w:rPr>
          <w:rFonts w:asciiTheme="minorHAnsi" w:hAnsiTheme="minorHAnsi" w:cstheme="minorHAnsi"/>
          <w:b w:val="0"/>
          <w:caps/>
          <w:sz w:val="40"/>
          <w:lang w:val="en-GB"/>
        </w:rPr>
        <w:t xml:space="preserve"> </w:t>
      </w:r>
    </w:p>
    <w:p w14:paraId="2151A8F1" w14:textId="77777777" w:rsidR="00F326BD" w:rsidRPr="00F35B2A" w:rsidRDefault="00F326BD" w:rsidP="00B057D7">
      <w:pPr>
        <w:spacing w:after="0" w:line="240" w:lineRule="auto"/>
        <w:jc w:val="both"/>
        <w:rPr>
          <w:rFonts w:cstheme="minorHAnsi"/>
          <w:lang w:val="en-US"/>
        </w:rPr>
      </w:pPr>
    </w:p>
    <w:p w14:paraId="54CAE337"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http://www.vvo.at/financial-education-der-osterreichische-versicherungsverband-vvo-100-sekunden-fur-ihre-finanz.html</w:t>
      </w:r>
    </w:p>
    <w:p w14:paraId="067BA1A1"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http://www.konsumentenfragen.at/konsumentenfragen2/Fuer_die_Schule/Aktuelles/Versicherungsverband_Qesterreich_macht_Finanzbildung</w:t>
      </w:r>
    </w:p>
    <w:p w14:paraId="4FF45F80"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https://www.wissensfabrik-oesterreich.at/portal/load/fid509955/2012-04-10_Medieninfo_Finanzbildung_Wissensfabrik.pdf</w:t>
      </w:r>
    </w:p>
    <w:p w14:paraId="6D008C50"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http://finanzbildung.bmask.gv.at/bmsk/index.html</w:t>
      </w:r>
    </w:p>
    <w:p w14:paraId="4913B899"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http://www.parlament.gv.at/PAKT/VHG/XXIV/AB/AB_10612/fnameorig_251314.html</w:t>
      </w:r>
    </w:p>
    <w:p w14:paraId="149D8FD7"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http://www.sparkasse.at/salzburg/Presse/Presseinfos-2013/Initiative_fuer_mehr_Finanzbildung_in_Oesterreich</w:t>
      </w:r>
    </w:p>
    <w:p w14:paraId="7BA3DECD"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http://www.oenb.at/de/ueber_die_oenb/wirtschaft/initiative_finanzwissen.jsp</w:t>
      </w:r>
    </w:p>
    <w:p w14:paraId="58A76B69"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http://www.wirtschaftsmuseum.at/pdf/Banken_2011.pdf</w:t>
      </w:r>
    </w:p>
    <w:p w14:paraId="29D08E9C"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http://www.ifs.at/fileadmin/user_upload/Dokumente/Schulden/Jahresbericht_2007_HPVersion.pdf</w:t>
      </w:r>
    </w:p>
    <w:p w14:paraId="40FBCCFD" w14:textId="77777777" w:rsidR="00F326BD" w:rsidRPr="00F35B2A" w:rsidRDefault="00F326BD" w:rsidP="00F326BD">
      <w:pPr>
        <w:pStyle w:val="Listenabsatz"/>
        <w:numPr>
          <w:ilvl w:val="0"/>
          <w:numId w:val="29"/>
        </w:numPr>
        <w:spacing w:after="0" w:line="240" w:lineRule="auto"/>
        <w:ind w:left="284" w:hanging="284"/>
        <w:jc w:val="both"/>
        <w:rPr>
          <w:rFonts w:cstheme="minorHAnsi"/>
          <w:i/>
          <w:iCs/>
          <w:lang w:val="en-US"/>
        </w:rPr>
      </w:pPr>
      <w:r w:rsidRPr="00F35B2A">
        <w:rPr>
          <w:rFonts w:cstheme="minorHAnsi"/>
          <w:lang w:val="en-US"/>
        </w:rPr>
        <w:t>https://www.finanzportal.at</w:t>
      </w:r>
    </w:p>
    <w:p w14:paraId="16F3E958" w14:textId="77777777" w:rsidR="00F326BD" w:rsidRPr="00F35B2A" w:rsidRDefault="00F326BD" w:rsidP="00F326BD">
      <w:pPr>
        <w:pStyle w:val="Listenabsatz"/>
        <w:numPr>
          <w:ilvl w:val="0"/>
          <w:numId w:val="29"/>
        </w:numPr>
        <w:spacing w:after="0" w:line="240" w:lineRule="auto"/>
        <w:ind w:left="284" w:hanging="284"/>
        <w:jc w:val="both"/>
        <w:rPr>
          <w:rFonts w:cstheme="minorHAnsi"/>
          <w:lang w:val="en-US"/>
        </w:rPr>
      </w:pPr>
      <w:r w:rsidRPr="00F35B2A">
        <w:rPr>
          <w:rFonts w:cstheme="minorHAnsi"/>
          <w:lang w:val="en-US"/>
        </w:rPr>
        <w:t>http://www.schuldner-hilfe.at/cms/index.php?menuid=12</w:t>
      </w:r>
    </w:p>
    <w:p w14:paraId="264B89DF" w14:textId="77777777" w:rsidR="007045EE" w:rsidRPr="00F35B2A" w:rsidRDefault="00F326BD" w:rsidP="007045EE">
      <w:pPr>
        <w:pStyle w:val="Listenabsatz"/>
        <w:numPr>
          <w:ilvl w:val="0"/>
          <w:numId w:val="29"/>
        </w:numPr>
        <w:spacing w:after="0" w:line="240" w:lineRule="auto"/>
        <w:ind w:left="284" w:hanging="284"/>
        <w:jc w:val="both"/>
        <w:rPr>
          <w:rFonts w:cstheme="minorHAnsi"/>
          <w:i/>
          <w:iCs/>
          <w:lang w:val="en-US"/>
        </w:rPr>
      </w:pPr>
      <w:r w:rsidRPr="00F35B2A">
        <w:rPr>
          <w:rFonts w:cstheme="minorHAnsi"/>
          <w:lang w:val="en-US"/>
        </w:rPr>
        <w:t>www.fitfuersgeld.at/</w:t>
      </w:r>
      <w:bookmarkStart w:id="9" w:name="_GoBack"/>
      <w:bookmarkEnd w:id="9"/>
    </w:p>
    <w:sectPr w:rsidR="007045EE" w:rsidRPr="00F35B2A" w:rsidSect="006B73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94F76" w14:textId="77777777" w:rsidR="0070659A" w:rsidRDefault="0070659A" w:rsidP="00FA3808">
      <w:pPr>
        <w:spacing w:after="0" w:line="240" w:lineRule="auto"/>
      </w:pPr>
      <w:r>
        <w:separator/>
      </w:r>
    </w:p>
  </w:endnote>
  <w:endnote w:type="continuationSeparator" w:id="0">
    <w:p w14:paraId="181FF5B2" w14:textId="77777777" w:rsidR="0070659A" w:rsidRDefault="0070659A" w:rsidP="00FA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B306" w14:textId="77777777" w:rsidR="006B73A3" w:rsidRDefault="006B73A3" w:rsidP="00BE27E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70D496" w14:textId="77777777" w:rsidR="006B73A3" w:rsidRDefault="006B73A3" w:rsidP="006B73A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5F02" w14:textId="77777777" w:rsidR="006B73A3" w:rsidRPr="006B73A3" w:rsidRDefault="006B73A3" w:rsidP="006B73A3">
    <w:pPr>
      <w:pStyle w:val="Fuzeile"/>
      <w:ind w:right="360"/>
      <w:jc w:val="center"/>
      <w:rPr>
        <w:rFonts w:ascii="Arial" w:hAnsi="Arial" w:cs="Arial"/>
        <w:sz w:val="18"/>
        <w:szCs w:val="18"/>
      </w:rPr>
    </w:pPr>
    <w:r w:rsidRPr="006B73A3">
      <w:rPr>
        <w:rFonts w:ascii="Arial" w:hAnsi="Arial" w:cs="Arial"/>
        <w:sz w:val="18"/>
        <w:szCs w:val="18"/>
      </w:rPr>
      <w:t xml:space="preserve">- </w:t>
    </w:r>
    <w:r w:rsidRPr="006B73A3">
      <w:rPr>
        <w:rStyle w:val="Seitenzahl"/>
        <w:rFonts w:ascii="Arial" w:hAnsi="Arial"/>
        <w:sz w:val="18"/>
        <w:szCs w:val="18"/>
      </w:rPr>
      <w:fldChar w:fldCharType="begin"/>
    </w:r>
    <w:r w:rsidRPr="006B73A3">
      <w:rPr>
        <w:rStyle w:val="Seitenzahl"/>
        <w:rFonts w:ascii="Arial" w:hAnsi="Arial"/>
        <w:sz w:val="18"/>
        <w:szCs w:val="18"/>
      </w:rPr>
      <w:instrText xml:space="preserve"> PAGE </w:instrText>
    </w:r>
    <w:r w:rsidRPr="006B73A3">
      <w:rPr>
        <w:rStyle w:val="Seitenzahl"/>
        <w:rFonts w:ascii="Arial" w:hAnsi="Arial"/>
        <w:sz w:val="18"/>
        <w:szCs w:val="18"/>
      </w:rPr>
      <w:fldChar w:fldCharType="separate"/>
    </w:r>
    <w:r w:rsidR="00373D9B">
      <w:rPr>
        <w:rStyle w:val="Seitenzahl"/>
        <w:rFonts w:ascii="Arial" w:hAnsi="Arial"/>
        <w:noProof/>
        <w:sz w:val="18"/>
        <w:szCs w:val="18"/>
      </w:rPr>
      <w:t>12</w:t>
    </w:r>
    <w:r w:rsidRPr="006B73A3">
      <w:rPr>
        <w:rStyle w:val="Seitenzahl"/>
        <w:rFonts w:ascii="Arial" w:hAnsi="Arial"/>
        <w:sz w:val="18"/>
        <w:szCs w:val="18"/>
      </w:rPr>
      <w:fldChar w:fldCharType="end"/>
    </w:r>
    <w:r w:rsidRPr="006B73A3">
      <w:rPr>
        <w:rStyle w:val="Seitenzahl"/>
        <w:rFonts w:ascii="Arial" w:hAnsi="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394D3" w14:textId="77777777" w:rsidR="0070659A" w:rsidRDefault="0070659A" w:rsidP="00FA3808">
      <w:pPr>
        <w:spacing w:after="0" w:line="240" w:lineRule="auto"/>
      </w:pPr>
      <w:r>
        <w:separator/>
      </w:r>
    </w:p>
  </w:footnote>
  <w:footnote w:type="continuationSeparator" w:id="0">
    <w:p w14:paraId="683BC4D1" w14:textId="77777777" w:rsidR="0070659A" w:rsidRDefault="0070659A" w:rsidP="00FA3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8ADC2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AE424D"/>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2A7316"/>
    <w:multiLevelType w:val="hybridMultilevel"/>
    <w:tmpl w:val="B04CF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65458C"/>
    <w:multiLevelType w:val="hybridMultilevel"/>
    <w:tmpl w:val="B6E62078"/>
    <w:lvl w:ilvl="0" w:tplc="33BC10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81383A"/>
    <w:multiLevelType w:val="hybridMultilevel"/>
    <w:tmpl w:val="6B6438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85F1F81"/>
    <w:multiLevelType w:val="hybridMultilevel"/>
    <w:tmpl w:val="7E6C968E"/>
    <w:lvl w:ilvl="0" w:tplc="B96AB4E4">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8E66140"/>
    <w:multiLevelType w:val="hybridMultilevel"/>
    <w:tmpl w:val="407AD6AE"/>
    <w:lvl w:ilvl="0" w:tplc="B96AB4E4">
      <w:start w:val="1"/>
      <w:numFmt w:val="bullet"/>
      <w:lvlText w:val="-"/>
      <w:lvlJc w:val="left"/>
      <w:pPr>
        <w:ind w:left="720" w:hanging="360"/>
      </w:pPr>
      <w:rPr>
        <w:rFonts w:ascii="Arial" w:hAnsi="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DAE5B2F"/>
    <w:multiLevelType w:val="hybridMultilevel"/>
    <w:tmpl w:val="EC82E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38A2D4A"/>
    <w:multiLevelType w:val="hybridMultilevel"/>
    <w:tmpl w:val="6E948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5333C0"/>
    <w:multiLevelType w:val="hybridMultilevel"/>
    <w:tmpl w:val="1D8E52BA"/>
    <w:lvl w:ilvl="0" w:tplc="B96AB4E4">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BDB296B"/>
    <w:multiLevelType w:val="hybridMultilevel"/>
    <w:tmpl w:val="2BA6FF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BED6AC6"/>
    <w:multiLevelType w:val="hybridMultilevel"/>
    <w:tmpl w:val="DECE238E"/>
    <w:lvl w:ilvl="0" w:tplc="33BC10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1555D6"/>
    <w:multiLevelType w:val="hybridMultilevel"/>
    <w:tmpl w:val="93CC6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285904"/>
    <w:multiLevelType w:val="hybridMultilevel"/>
    <w:tmpl w:val="7B3C0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0307C6"/>
    <w:multiLevelType w:val="hybridMultilevel"/>
    <w:tmpl w:val="E8C6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226FE"/>
    <w:multiLevelType w:val="hybridMultilevel"/>
    <w:tmpl w:val="33D49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EE07F8"/>
    <w:multiLevelType w:val="hybridMultilevel"/>
    <w:tmpl w:val="C9A45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4E26B5"/>
    <w:multiLevelType w:val="hybridMultilevel"/>
    <w:tmpl w:val="33524C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B4F26E1"/>
    <w:multiLevelType w:val="hybridMultilevel"/>
    <w:tmpl w:val="71C868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BFF124B"/>
    <w:multiLevelType w:val="hybridMultilevel"/>
    <w:tmpl w:val="2B9416D6"/>
    <w:lvl w:ilvl="0" w:tplc="33BC10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DD90B0B"/>
    <w:multiLevelType w:val="hybridMultilevel"/>
    <w:tmpl w:val="D3142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8224F2"/>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nsid w:val="625D6390"/>
    <w:multiLevelType w:val="hybridMultilevel"/>
    <w:tmpl w:val="C84E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C5614"/>
    <w:multiLevelType w:val="hybridMultilevel"/>
    <w:tmpl w:val="22A45ED2"/>
    <w:lvl w:ilvl="0" w:tplc="B96AB4E4">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EA01E08"/>
    <w:multiLevelType w:val="hybridMultilevel"/>
    <w:tmpl w:val="3A1839A2"/>
    <w:lvl w:ilvl="0" w:tplc="33BC10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num>
  <w:num w:numId="4">
    <w:abstractNumId w:val="21"/>
  </w:num>
  <w:num w:numId="5">
    <w:abstractNumId w:val="21"/>
  </w:num>
  <w:num w:numId="6">
    <w:abstractNumId w:val="21"/>
  </w:num>
  <w:num w:numId="7">
    <w:abstractNumId w:val="17"/>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1"/>
  </w:num>
  <w:num w:numId="19">
    <w:abstractNumId w:val="10"/>
  </w:num>
  <w:num w:numId="20">
    <w:abstractNumId w:val="18"/>
  </w:num>
  <w:num w:numId="21">
    <w:abstractNumId w:val="7"/>
  </w:num>
  <w:num w:numId="22">
    <w:abstractNumId w:val="14"/>
  </w:num>
  <w:num w:numId="23">
    <w:abstractNumId w:val="22"/>
  </w:num>
  <w:num w:numId="24">
    <w:abstractNumId w:val="23"/>
  </w:num>
  <w:num w:numId="25">
    <w:abstractNumId w:val="5"/>
  </w:num>
  <w:num w:numId="26">
    <w:abstractNumId w:val="9"/>
  </w:num>
  <w:num w:numId="27">
    <w:abstractNumId w:val="21"/>
  </w:num>
  <w:num w:numId="28">
    <w:abstractNumId w:val="21"/>
  </w:num>
  <w:num w:numId="29">
    <w:abstractNumId w:val="6"/>
  </w:num>
  <w:num w:numId="30">
    <w:abstractNumId w:val="21"/>
  </w:num>
  <w:num w:numId="31">
    <w:abstractNumId w:val="8"/>
  </w:num>
  <w:num w:numId="32">
    <w:abstractNumId w:val="20"/>
  </w:num>
  <w:num w:numId="33">
    <w:abstractNumId w:val="12"/>
  </w:num>
  <w:num w:numId="34">
    <w:abstractNumId w:val="15"/>
  </w:num>
  <w:num w:numId="35">
    <w:abstractNumId w:val="13"/>
  </w:num>
  <w:num w:numId="36">
    <w:abstractNumId w:val="0"/>
  </w:num>
  <w:num w:numId="37">
    <w:abstractNumId w:val="16"/>
  </w:num>
  <w:num w:numId="38">
    <w:abstractNumId w:val="2"/>
  </w:num>
  <w:num w:numId="39">
    <w:abstractNumId w:val="19"/>
  </w:num>
  <w:num w:numId="40">
    <w:abstractNumId w:val="24"/>
  </w:num>
  <w:num w:numId="41">
    <w:abstractNumId w:val="11"/>
  </w:num>
  <w:num w:numId="42">
    <w:abstractNumId w:val="3"/>
  </w:num>
  <w:num w:numId="43">
    <w:abstractNumId w:val="21"/>
  </w:num>
  <w:num w:numId="44">
    <w:abstractNumId w:val="2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CD"/>
    <w:rsid w:val="000266CD"/>
    <w:rsid w:val="00043A5A"/>
    <w:rsid w:val="00053747"/>
    <w:rsid w:val="0006115E"/>
    <w:rsid w:val="00062067"/>
    <w:rsid w:val="000F7A1C"/>
    <w:rsid w:val="00105B3E"/>
    <w:rsid w:val="00131E5D"/>
    <w:rsid w:val="001B784C"/>
    <w:rsid w:val="0027492C"/>
    <w:rsid w:val="00280D7C"/>
    <w:rsid w:val="002A37A3"/>
    <w:rsid w:val="002A4505"/>
    <w:rsid w:val="002A5DC4"/>
    <w:rsid w:val="00332D6E"/>
    <w:rsid w:val="00363BE8"/>
    <w:rsid w:val="00373D9B"/>
    <w:rsid w:val="0037735D"/>
    <w:rsid w:val="003B6385"/>
    <w:rsid w:val="003B72A6"/>
    <w:rsid w:val="004139C1"/>
    <w:rsid w:val="0048262D"/>
    <w:rsid w:val="0054095C"/>
    <w:rsid w:val="005477DB"/>
    <w:rsid w:val="00597FF3"/>
    <w:rsid w:val="005D206A"/>
    <w:rsid w:val="005E18E0"/>
    <w:rsid w:val="005F0E9F"/>
    <w:rsid w:val="005F15D8"/>
    <w:rsid w:val="006452B7"/>
    <w:rsid w:val="006463C1"/>
    <w:rsid w:val="006611D7"/>
    <w:rsid w:val="00686446"/>
    <w:rsid w:val="006A65A9"/>
    <w:rsid w:val="006B73A3"/>
    <w:rsid w:val="006F1ED8"/>
    <w:rsid w:val="007045EE"/>
    <w:rsid w:val="0070659A"/>
    <w:rsid w:val="00727753"/>
    <w:rsid w:val="007829FD"/>
    <w:rsid w:val="007974D6"/>
    <w:rsid w:val="007F62C5"/>
    <w:rsid w:val="008157B9"/>
    <w:rsid w:val="00816681"/>
    <w:rsid w:val="00880167"/>
    <w:rsid w:val="00907D0E"/>
    <w:rsid w:val="0091556D"/>
    <w:rsid w:val="0092275D"/>
    <w:rsid w:val="00925436"/>
    <w:rsid w:val="00973614"/>
    <w:rsid w:val="009D7E61"/>
    <w:rsid w:val="00A1628E"/>
    <w:rsid w:val="00A86278"/>
    <w:rsid w:val="00A961D4"/>
    <w:rsid w:val="00AA1268"/>
    <w:rsid w:val="00AC46C3"/>
    <w:rsid w:val="00AC7EE0"/>
    <w:rsid w:val="00B057D7"/>
    <w:rsid w:val="00B522FB"/>
    <w:rsid w:val="00B82919"/>
    <w:rsid w:val="00B83A6B"/>
    <w:rsid w:val="00BA0ABA"/>
    <w:rsid w:val="00C75840"/>
    <w:rsid w:val="00CA14B0"/>
    <w:rsid w:val="00CD5748"/>
    <w:rsid w:val="00CF7222"/>
    <w:rsid w:val="00D62EED"/>
    <w:rsid w:val="00D9111A"/>
    <w:rsid w:val="00DC36D6"/>
    <w:rsid w:val="00DC3C8F"/>
    <w:rsid w:val="00E73CA2"/>
    <w:rsid w:val="00E74248"/>
    <w:rsid w:val="00F326BD"/>
    <w:rsid w:val="00F35B2A"/>
    <w:rsid w:val="00FA3808"/>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74CC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Heading1Char"/>
    <w:uiPriority w:val="99"/>
    <w:qFormat/>
    <w:rsid w:val="003B72A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Heading2Char"/>
    <w:uiPriority w:val="99"/>
    <w:unhideWhenUsed/>
    <w:qFormat/>
    <w:rsid w:val="003B72A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Heading3Char"/>
    <w:uiPriority w:val="99"/>
    <w:unhideWhenUsed/>
    <w:qFormat/>
    <w:rsid w:val="003B72A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Heading4Char"/>
    <w:uiPriority w:val="99"/>
    <w:unhideWhenUsed/>
    <w:qFormat/>
    <w:rsid w:val="003B72A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Heading5Char"/>
    <w:uiPriority w:val="99"/>
    <w:unhideWhenUsed/>
    <w:qFormat/>
    <w:rsid w:val="003B72A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Heading6Char"/>
    <w:uiPriority w:val="99"/>
    <w:unhideWhenUsed/>
    <w:qFormat/>
    <w:rsid w:val="003B72A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Heading7Char"/>
    <w:uiPriority w:val="99"/>
    <w:unhideWhenUsed/>
    <w:qFormat/>
    <w:rsid w:val="003B72A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Heading8Char"/>
    <w:uiPriority w:val="99"/>
    <w:unhideWhenUsed/>
    <w:qFormat/>
    <w:rsid w:val="003B72A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Heading9Char"/>
    <w:uiPriority w:val="99"/>
    <w:unhideWhenUsed/>
    <w:qFormat/>
    <w:rsid w:val="003B72A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2A6"/>
    <w:pPr>
      <w:ind w:left="720"/>
      <w:contextualSpacing/>
    </w:pPr>
  </w:style>
  <w:style w:type="character" w:customStyle="1" w:styleId="Heading1Char">
    <w:name w:val="Heading 1 Char"/>
    <w:basedOn w:val="Absatz-Standardschriftart"/>
    <w:link w:val="berschrift1"/>
    <w:uiPriority w:val="99"/>
    <w:rsid w:val="003B72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bsatz-Standardschriftart"/>
    <w:link w:val="berschrift2"/>
    <w:uiPriority w:val="9"/>
    <w:rsid w:val="003B72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bsatz-Standardschriftart"/>
    <w:link w:val="berschrift3"/>
    <w:uiPriority w:val="99"/>
    <w:rsid w:val="003B72A6"/>
    <w:rPr>
      <w:rFonts w:asciiTheme="majorHAnsi" w:eastAsiaTheme="majorEastAsia" w:hAnsiTheme="majorHAnsi" w:cstheme="majorBidi"/>
      <w:b/>
      <w:bCs/>
      <w:color w:val="4F81BD" w:themeColor="accent1"/>
    </w:rPr>
  </w:style>
  <w:style w:type="character" w:customStyle="1" w:styleId="Heading4Char">
    <w:name w:val="Heading 4 Char"/>
    <w:basedOn w:val="Absatz-Standardschriftart"/>
    <w:link w:val="berschrift4"/>
    <w:uiPriority w:val="9"/>
    <w:semiHidden/>
    <w:rsid w:val="003B72A6"/>
    <w:rPr>
      <w:rFonts w:asciiTheme="majorHAnsi" w:eastAsiaTheme="majorEastAsia" w:hAnsiTheme="majorHAnsi" w:cstheme="majorBidi"/>
      <w:b/>
      <w:bCs/>
      <w:i/>
      <w:iCs/>
      <w:color w:val="4F81BD" w:themeColor="accent1"/>
    </w:rPr>
  </w:style>
  <w:style w:type="character" w:customStyle="1" w:styleId="Heading5Char">
    <w:name w:val="Heading 5 Char"/>
    <w:basedOn w:val="Absatz-Standardschriftart"/>
    <w:link w:val="berschrift5"/>
    <w:uiPriority w:val="9"/>
    <w:semiHidden/>
    <w:rsid w:val="003B72A6"/>
    <w:rPr>
      <w:rFonts w:asciiTheme="majorHAnsi" w:eastAsiaTheme="majorEastAsia" w:hAnsiTheme="majorHAnsi" w:cstheme="majorBidi"/>
      <w:color w:val="243F60" w:themeColor="accent1" w:themeShade="7F"/>
    </w:rPr>
  </w:style>
  <w:style w:type="character" w:customStyle="1" w:styleId="Heading6Char">
    <w:name w:val="Heading 6 Char"/>
    <w:basedOn w:val="Absatz-Standardschriftart"/>
    <w:link w:val="berschrift6"/>
    <w:uiPriority w:val="9"/>
    <w:semiHidden/>
    <w:rsid w:val="003B72A6"/>
    <w:rPr>
      <w:rFonts w:asciiTheme="majorHAnsi" w:eastAsiaTheme="majorEastAsia" w:hAnsiTheme="majorHAnsi" w:cstheme="majorBidi"/>
      <w:i/>
      <w:iCs/>
      <w:color w:val="243F60" w:themeColor="accent1" w:themeShade="7F"/>
    </w:rPr>
  </w:style>
  <w:style w:type="character" w:customStyle="1" w:styleId="Heading7Char">
    <w:name w:val="Heading 7 Char"/>
    <w:basedOn w:val="Absatz-Standardschriftart"/>
    <w:link w:val="berschrift7"/>
    <w:uiPriority w:val="9"/>
    <w:semiHidden/>
    <w:rsid w:val="003B72A6"/>
    <w:rPr>
      <w:rFonts w:asciiTheme="majorHAnsi" w:eastAsiaTheme="majorEastAsia" w:hAnsiTheme="majorHAnsi" w:cstheme="majorBidi"/>
      <w:i/>
      <w:iCs/>
      <w:color w:val="404040" w:themeColor="text1" w:themeTint="BF"/>
    </w:rPr>
  </w:style>
  <w:style w:type="character" w:customStyle="1" w:styleId="Heading8Char">
    <w:name w:val="Heading 8 Char"/>
    <w:basedOn w:val="Absatz-Standardschriftart"/>
    <w:link w:val="berschrift8"/>
    <w:uiPriority w:val="9"/>
    <w:semiHidden/>
    <w:rsid w:val="003B72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bsatz-Standardschriftart"/>
    <w:link w:val="berschrift9"/>
    <w:uiPriority w:val="9"/>
    <w:semiHidden/>
    <w:rsid w:val="003B72A6"/>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BalloonTextChar"/>
    <w:uiPriority w:val="99"/>
    <w:semiHidden/>
    <w:unhideWhenUsed/>
    <w:rsid w:val="00907D0E"/>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907D0E"/>
    <w:rPr>
      <w:rFonts w:ascii="Tahoma" w:hAnsi="Tahoma" w:cs="Tahoma"/>
      <w:sz w:val="16"/>
      <w:szCs w:val="16"/>
    </w:rPr>
  </w:style>
  <w:style w:type="paragraph" w:styleId="Kopfzeile">
    <w:name w:val="header"/>
    <w:basedOn w:val="Standard"/>
    <w:link w:val="HeaderChar"/>
    <w:uiPriority w:val="99"/>
    <w:unhideWhenUsed/>
    <w:rsid w:val="00FA3808"/>
    <w:pPr>
      <w:tabs>
        <w:tab w:val="center" w:pos="4536"/>
        <w:tab w:val="right" w:pos="9072"/>
      </w:tabs>
      <w:spacing w:after="0" w:line="240" w:lineRule="auto"/>
    </w:pPr>
  </w:style>
  <w:style w:type="character" w:customStyle="1" w:styleId="HeaderChar">
    <w:name w:val="Header Char"/>
    <w:basedOn w:val="Absatz-Standardschriftart"/>
    <w:link w:val="Kopfzeile"/>
    <w:uiPriority w:val="99"/>
    <w:rsid w:val="00FA3808"/>
  </w:style>
  <w:style w:type="paragraph" w:styleId="Fuzeile">
    <w:name w:val="footer"/>
    <w:basedOn w:val="Standard"/>
    <w:link w:val="FooterChar"/>
    <w:uiPriority w:val="99"/>
    <w:unhideWhenUsed/>
    <w:rsid w:val="00FA3808"/>
    <w:pPr>
      <w:tabs>
        <w:tab w:val="center" w:pos="4536"/>
        <w:tab w:val="right" w:pos="9072"/>
      </w:tabs>
      <w:spacing w:after="0" w:line="240" w:lineRule="auto"/>
    </w:pPr>
  </w:style>
  <w:style w:type="character" w:customStyle="1" w:styleId="FooterChar">
    <w:name w:val="Footer Char"/>
    <w:basedOn w:val="Absatz-Standardschriftart"/>
    <w:link w:val="Fuzeile"/>
    <w:uiPriority w:val="99"/>
    <w:rsid w:val="00FA3808"/>
  </w:style>
  <w:style w:type="paragraph" w:styleId="Inhaltsverzeichnisberschrift">
    <w:name w:val="TOC Heading"/>
    <w:basedOn w:val="berschrift1"/>
    <w:next w:val="Standard"/>
    <w:uiPriority w:val="39"/>
    <w:unhideWhenUsed/>
    <w:qFormat/>
    <w:rsid w:val="001B784C"/>
    <w:pPr>
      <w:numPr>
        <w:numId w:val="0"/>
      </w:numPr>
      <w:outlineLvl w:val="9"/>
    </w:pPr>
    <w:rPr>
      <w:lang w:eastAsia="de-AT"/>
    </w:rPr>
  </w:style>
  <w:style w:type="paragraph" w:styleId="Verzeichnis1">
    <w:name w:val="toc 1"/>
    <w:basedOn w:val="Standard"/>
    <w:next w:val="Standard"/>
    <w:autoRedefine/>
    <w:uiPriority w:val="39"/>
    <w:unhideWhenUsed/>
    <w:rsid w:val="001B784C"/>
    <w:pPr>
      <w:spacing w:after="100"/>
    </w:pPr>
  </w:style>
  <w:style w:type="paragraph" w:styleId="Verzeichnis2">
    <w:name w:val="toc 2"/>
    <w:basedOn w:val="Standard"/>
    <w:next w:val="Standard"/>
    <w:autoRedefine/>
    <w:uiPriority w:val="39"/>
    <w:unhideWhenUsed/>
    <w:rsid w:val="001B784C"/>
    <w:pPr>
      <w:spacing w:after="100"/>
      <w:ind w:left="220"/>
    </w:pPr>
  </w:style>
  <w:style w:type="paragraph" w:styleId="Verzeichnis3">
    <w:name w:val="toc 3"/>
    <w:basedOn w:val="Standard"/>
    <w:next w:val="Standard"/>
    <w:autoRedefine/>
    <w:uiPriority w:val="39"/>
    <w:unhideWhenUsed/>
    <w:rsid w:val="001B784C"/>
    <w:pPr>
      <w:spacing w:after="100"/>
      <w:ind w:left="440"/>
    </w:pPr>
  </w:style>
  <w:style w:type="character" w:styleId="Hyperlink">
    <w:name w:val="Hyperlink"/>
    <w:basedOn w:val="Absatz-Standardschriftart"/>
    <w:uiPriority w:val="99"/>
    <w:unhideWhenUsed/>
    <w:rsid w:val="001B784C"/>
    <w:rPr>
      <w:color w:val="0000FF" w:themeColor="hyperlink"/>
      <w:u w:val="single"/>
    </w:rPr>
  </w:style>
  <w:style w:type="table" w:styleId="Tabellenraster">
    <w:name w:val="Table Grid"/>
    <w:basedOn w:val="NormaleTabelle"/>
    <w:uiPriority w:val="59"/>
    <w:rsid w:val="00F3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6B73A3"/>
  </w:style>
  <w:style w:type="paragraph" w:styleId="Aufzhlungszeichen">
    <w:name w:val="List Bullet"/>
    <w:basedOn w:val="Standard"/>
    <w:uiPriority w:val="99"/>
    <w:unhideWhenUsed/>
    <w:rsid w:val="005F15D8"/>
    <w:pPr>
      <w:numPr>
        <w:numId w:val="36"/>
      </w:numPr>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Heading1Char"/>
    <w:uiPriority w:val="99"/>
    <w:qFormat/>
    <w:rsid w:val="003B72A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Heading2Char"/>
    <w:uiPriority w:val="99"/>
    <w:unhideWhenUsed/>
    <w:qFormat/>
    <w:rsid w:val="003B72A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Heading3Char"/>
    <w:uiPriority w:val="99"/>
    <w:unhideWhenUsed/>
    <w:qFormat/>
    <w:rsid w:val="003B72A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Heading4Char"/>
    <w:uiPriority w:val="99"/>
    <w:unhideWhenUsed/>
    <w:qFormat/>
    <w:rsid w:val="003B72A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Heading5Char"/>
    <w:uiPriority w:val="99"/>
    <w:unhideWhenUsed/>
    <w:qFormat/>
    <w:rsid w:val="003B72A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Heading6Char"/>
    <w:uiPriority w:val="99"/>
    <w:unhideWhenUsed/>
    <w:qFormat/>
    <w:rsid w:val="003B72A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Heading7Char"/>
    <w:uiPriority w:val="99"/>
    <w:unhideWhenUsed/>
    <w:qFormat/>
    <w:rsid w:val="003B72A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Heading8Char"/>
    <w:uiPriority w:val="99"/>
    <w:unhideWhenUsed/>
    <w:qFormat/>
    <w:rsid w:val="003B72A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Heading9Char"/>
    <w:uiPriority w:val="99"/>
    <w:unhideWhenUsed/>
    <w:qFormat/>
    <w:rsid w:val="003B72A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2A6"/>
    <w:pPr>
      <w:ind w:left="720"/>
      <w:contextualSpacing/>
    </w:pPr>
  </w:style>
  <w:style w:type="character" w:customStyle="1" w:styleId="Heading1Char">
    <w:name w:val="Heading 1 Char"/>
    <w:basedOn w:val="Absatz-Standardschriftart"/>
    <w:link w:val="berschrift1"/>
    <w:uiPriority w:val="99"/>
    <w:rsid w:val="003B72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bsatz-Standardschriftart"/>
    <w:link w:val="berschrift2"/>
    <w:uiPriority w:val="9"/>
    <w:rsid w:val="003B72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bsatz-Standardschriftart"/>
    <w:link w:val="berschrift3"/>
    <w:uiPriority w:val="99"/>
    <w:rsid w:val="003B72A6"/>
    <w:rPr>
      <w:rFonts w:asciiTheme="majorHAnsi" w:eastAsiaTheme="majorEastAsia" w:hAnsiTheme="majorHAnsi" w:cstheme="majorBidi"/>
      <w:b/>
      <w:bCs/>
      <w:color w:val="4F81BD" w:themeColor="accent1"/>
    </w:rPr>
  </w:style>
  <w:style w:type="character" w:customStyle="1" w:styleId="Heading4Char">
    <w:name w:val="Heading 4 Char"/>
    <w:basedOn w:val="Absatz-Standardschriftart"/>
    <w:link w:val="berschrift4"/>
    <w:uiPriority w:val="9"/>
    <w:semiHidden/>
    <w:rsid w:val="003B72A6"/>
    <w:rPr>
      <w:rFonts w:asciiTheme="majorHAnsi" w:eastAsiaTheme="majorEastAsia" w:hAnsiTheme="majorHAnsi" w:cstheme="majorBidi"/>
      <w:b/>
      <w:bCs/>
      <w:i/>
      <w:iCs/>
      <w:color w:val="4F81BD" w:themeColor="accent1"/>
    </w:rPr>
  </w:style>
  <w:style w:type="character" w:customStyle="1" w:styleId="Heading5Char">
    <w:name w:val="Heading 5 Char"/>
    <w:basedOn w:val="Absatz-Standardschriftart"/>
    <w:link w:val="berschrift5"/>
    <w:uiPriority w:val="9"/>
    <w:semiHidden/>
    <w:rsid w:val="003B72A6"/>
    <w:rPr>
      <w:rFonts w:asciiTheme="majorHAnsi" w:eastAsiaTheme="majorEastAsia" w:hAnsiTheme="majorHAnsi" w:cstheme="majorBidi"/>
      <w:color w:val="243F60" w:themeColor="accent1" w:themeShade="7F"/>
    </w:rPr>
  </w:style>
  <w:style w:type="character" w:customStyle="1" w:styleId="Heading6Char">
    <w:name w:val="Heading 6 Char"/>
    <w:basedOn w:val="Absatz-Standardschriftart"/>
    <w:link w:val="berschrift6"/>
    <w:uiPriority w:val="9"/>
    <w:semiHidden/>
    <w:rsid w:val="003B72A6"/>
    <w:rPr>
      <w:rFonts w:asciiTheme="majorHAnsi" w:eastAsiaTheme="majorEastAsia" w:hAnsiTheme="majorHAnsi" w:cstheme="majorBidi"/>
      <w:i/>
      <w:iCs/>
      <w:color w:val="243F60" w:themeColor="accent1" w:themeShade="7F"/>
    </w:rPr>
  </w:style>
  <w:style w:type="character" w:customStyle="1" w:styleId="Heading7Char">
    <w:name w:val="Heading 7 Char"/>
    <w:basedOn w:val="Absatz-Standardschriftart"/>
    <w:link w:val="berschrift7"/>
    <w:uiPriority w:val="9"/>
    <w:semiHidden/>
    <w:rsid w:val="003B72A6"/>
    <w:rPr>
      <w:rFonts w:asciiTheme="majorHAnsi" w:eastAsiaTheme="majorEastAsia" w:hAnsiTheme="majorHAnsi" w:cstheme="majorBidi"/>
      <w:i/>
      <w:iCs/>
      <w:color w:val="404040" w:themeColor="text1" w:themeTint="BF"/>
    </w:rPr>
  </w:style>
  <w:style w:type="character" w:customStyle="1" w:styleId="Heading8Char">
    <w:name w:val="Heading 8 Char"/>
    <w:basedOn w:val="Absatz-Standardschriftart"/>
    <w:link w:val="berschrift8"/>
    <w:uiPriority w:val="9"/>
    <w:semiHidden/>
    <w:rsid w:val="003B72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bsatz-Standardschriftart"/>
    <w:link w:val="berschrift9"/>
    <w:uiPriority w:val="9"/>
    <w:semiHidden/>
    <w:rsid w:val="003B72A6"/>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BalloonTextChar"/>
    <w:uiPriority w:val="99"/>
    <w:semiHidden/>
    <w:unhideWhenUsed/>
    <w:rsid w:val="00907D0E"/>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907D0E"/>
    <w:rPr>
      <w:rFonts w:ascii="Tahoma" w:hAnsi="Tahoma" w:cs="Tahoma"/>
      <w:sz w:val="16"/>
      <w:szCs w:val="16"/>
    </w:rPr>
  </w:style>
  <w:style w:type="paragraph" w:styleId="Kopfzeile">
    <w:name w:val="header"/>
    <w:basedOn w:val="Standard"/>
    <w:link w:val="HeaderChar"/>
    <w:uiPriority w:val="99"/>
    <w:unhideWhenUsed/>
    <w:rsid w:val="00FA3808"/>
    <w:pPr>
      <w:tabs>
        <w:tab w:val="center" w:pos="4536"/>
        <w:tab w:val="right" w:pos="9072"/>
      </w:tabs>
      <w:spacing w:after="0" w:line="240" w:lineRule="auto"/>
    </w:pPr>
  </w:style>
  <w:style w:type="character" w:customStyle="1" w:styleId="HeaderChar">
    <w:name w:val="Header Char"/>
    <w:basedOn w:val="Absatz-Standardschriftart"/>
    <w:link w:val="Kopfzeile"/>
    <w:uiPriority w:val="99"/>
    <w:rsid w:val="00FA3808"/>
  </w:style>
  <w:style w:type="paragraph" w:styleId="Fuzeile">
    <w:name w:val="footer"/>
    <w:basedOn w:val="Standard"/>
    <w:link w:val="FooterChar"/>
    <w:uiPriority w:val="99"/>
    <w:unhideWhenUsed/>
    <w:rsid w:val="00FA3808"/>
    <w:pPr>
      <w:tabs>
        <w:tab w:val="center" w:pos="4536"/>
        <w:tab w:val="right" w:pos="9072"/>
      </w:tabs>
      <w:spacing w:after="0" w:line="240" w:lineRule="auto"/>
    </w:pPr>
  </w:style>
  <w:style w:type="character" w:customStyle="1" w:styleId="FooterChar">
    <w:name w:val="Footer Char"/>
    <w:basedOn w:val="Absatz-Standardschriftart"/>
    <w:link w:val="Fuzeile"/>
    <w:uiPriority w:val="99"/>
    <w:rsid w:val="00FA3808"/>
  </w:style>
  <w:style w:type="paragraph" w:styleId="Inhaltsverzeichnisberschrift">
    <w:name w:val="TOC Heading"/>
    <w:basedOn w:val="berschrift1"/>
    <w:next w:val="Standard"/>
    <w:uiPriority w:val="39"/>
    <w:unhideWhenUsed/>
    <w:qFormat/>
    <w:rsid w:val="001B784C"/>
    <w:pPr>
      <w:numPr>
        <w:numId w:val="0"/>
      </w:numPr>
      <w:outlineLvl w:val="9"/>
    </w:pPr>
    <w:rPr>
      <w:lang w:eastAsia="de-AT"/>
    </w:rPr>
  </w:style>
  <w:style w:type="paragraph" w:styleId="Verzeichnis1">
    <w:name w:val="toc 1"/>
    <w:basedOn w:val="Standard"/>
    <w:next w:val="Standard"/>
    <w:autoRedefine/>
    <w:uiPriority w:val="39"/>
    <w:unhideWhenUsed/>
    <w:rsid w:val="001B784C"/>
    <w:pPr>
      <w:spacing w:after="100"/>
    </w:pPr>
  </w:style>
  <w:style w:type="paragraph" w:styleId="Verzeichnis2">
    <w:name w:val="toc 2"/>
    <w:basedOn w:val="Standard"/>
    <w:next w:val="Standard"/>
    <w:autoRedefine/>
    <w:uiPriority w:val="39"/>
    <w:unhideWhenUsed/>
    <w:rsid w:val="001B784C"/>
    <w:pPr>
      <w:spacing w:after="100"/>
      <w:ind w:left="220"/>
    </w:pPr>
  </w:style>
  <w:style w:type="paragraph" w:styleId="Verzeichnis3">
    <w:name w:val="toc 3"/>
    <w:basedOn w:val="Standard"/>
    <w:next w:val="Standard"/>
    <w:autoRedefine/>
    <w:uiPriority w:val="39"/>
    <w:unhideWhenUsed/>
    <w:rsid w:val="001B784C"/>
    <w:pPr>
      <w:spacing w:after="100"/>
      <w:ind w:left="440"/>
    </w:pPr>
  </w:style>
  <w:style w:type="character" w:styleId="Hyperlink">
    <w:name w:val="Hyperlink"/>
    <w:basedOn w:val="Absatz-Standardschriftart"/>
    <w:uiPriority w:val="99"/>
    <w:unhideWhenUsed/>
    <w:rsid w:val="001B784C"/>
    <w:rPr>
      <w:color w:val="0000FF" w:themeColor="hyperlink"/>
      <w:u w:val="single"/>
    </w:rPr>
  </w:style>
  <w:style w:type="table" w:styleId="Tabellenraster">
    <w:name w:val="Table Grid"/>
    <w:basedOn w:val="NormaleTabelle"/>
    <w:uiPriority w:val="59"/>
    <w:rsid w:val="00F3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6B73A3"/>
  </w:style>
  <w:style w:type="paragraph" w:styleId="Aufzhlungszeichen">
    <w:name w:val="List Bullet"/>
    <w:basedOn w:val="Standard"/>
    <w:uiPriority w:val="99"/>
    <w:unhideWhenUsed/>
    <w:rsid w:val="005F15D8"/>
    <w:pPr>
      <w:numPr>
        <w:numId w:val="36"/>
      </w:numPr>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000"/>
          </a:pPr>
          <a:endParaRPr lang="de-DE"/>
        </a:p>
      </c:txPr>
    </c:title>
    <c:autoTitleDeleted val="0"/>
    <c:plotArea>
      <c:layout/>
      <c:pieChart>
        <c:varyColors val="1"/>
        <c:ser>
          <c:idx val="0"/>
          <c:order val="0"/>
          <c:tx>
            <c:strRef>
              <c:f>Tabelle1!$B$1</c:f>
              <c:strCache>
                <c:ptCount val="1"/>
                <c:pt idx="0">
                  <c:v>Informationen zum Thema Versicherungen erhalten</c:v>
                </c:pt>
              </c:strCache>
            </c:strRef>
          </c:tx>
          <c:dLbls>
            <c:txPr>
              <a:bodyPr/>
              <a:lstStyle/>
              <a:p>
                <a:pPr>
                  <a:defRPr sz="800"/>
                </a:pPr>
                <a:endParaRPr lang="de-DE"/>
              </a:p>
            </c:txPr>
            <c:showLegendKey val="0"/>
            <c:showVal val="0"/>
            <c:showCatName val="1"/>
            <c:showSerName val="0"/>
            <c:showPercent val="1"/>
            <c:showBubbleSize val="0"/>
            <c:showLeaderLines val="1"/>
          </c:dLbls>
          <c:cat>
            <c:strRef>
              <c:f>Tabelle1!$A$2:$A$5</c:f>
              <c:strCache>
                <c:ptCount val="4"/>
                <c:pt idx="0">
                  <c:v>Ja</c:v>
                </c:pt>
                <c:pt idx="1">
                  <c:v>Ich weiß nicht</c:v>
                </c:pt>
                <c:pt idx="2">
                  <c:v>Ja, aber nur kurz</c:v>
                </c:pt>
                <c:pt idx="3">
                  <c:v>Nein</c:v>
                </c:pt>
              </c:strCache>
            </c:strRef>
          </c:cat>
          <c:val>
            <c:numRef>
              <c:f>Tabelle1!$B$2:$B$5</c:f>
              <c:numCache>
                <c:formatCode>General</c:formatCode>
                <c:ptCount val="4"/>
                <c:pt idx="0">
                  <c:v>2</c:v>
                </c:pt>
                <c:pt idx="1">
                  <c:v>7</c:v>
                </c:pt>
                <c:pt idx="2">
                  <c:v>24</c:v>
                </c:pt>
                <c:pt idx="3">
                  <c:v>68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Sinnvoll, das Thema mehr in den Lehrplan zu integrieren</a:t>
            </a:r>
          </a:p>
        </c:rich>
      </c:tx>
      <c:layout>
        <c:manualLayout>
          <c:xMode val="edge"/>
          <c:yMode val="edge"/>
          <c:x val="0.18519509476031215"/>
          <c:y val="5.6022408963585436E-2"/>
        </c:manualLayout>
      </c:layout>
      <c:overlay val="0"/>
    </c:title>
    <c:autoTitleDeleted val="0"/>
    <c:plotArea>
      <c:layout/>
      <c:pieChart>
        <c:varyColors val="1"/>
        <c:ser>
          <c:idx val="0"/>
          <c:order val="0"/>
          <c:tx>
            <c:strRef>
              <c:f>Tabelle1!$B$1</c:f>
              <c:strCache>
                <c:ptCount val="1"/>
                <c:pt idx="0">
                  <c:v>Sinnvoll, das Thema mehr in den Lehrplan zu integrieren</c:v>
                </c:pt>
              </c:strCache>
            </c:strRef>
          </c:tx>
          <c:dLbls>
            <c:txPr>
              <a:bodyPr/>
              <a:lstStyle/>
              <a:p>
                <a:pPr>
                  <a:defRPr sz="800"/>
                </a:pPr>
                <a:endParaRPr lang="de-DE"/>
              </a:p>
            </c:txPr>
            <c:showLegendKey val="0"/>
            <c:showVal val="0"/>
            <c:showCatName val="1"/>
            <c:showSerName val="0"/>
            <c:showPercent val="1"/>
            <c:showBubbleSize val="0"/>
            <c:showLeaderLines val="1"/>
          </c:dLbls>
          <c:cat>
            <c:strRef>
              <c:f>Tabelle1!$A$2:$A$5</c:f>
              <c:strCache>
                <c:ptCount val="3"/>
                <c:pt idx="0">
                  <c:v>Ja</c:v>
                </c:pt>
                <c:pt idx="1">
                  <c:v>Nein</c:v>
                </c:pt>
                <c:pt idx="2">
                  <c:v>Ich weiß nicht</c:v>
                </c:pt>
              </c:strCache>
            </c:strRef>
          </c:cat>
          <c:val>
            <c:numRef>
              <c:f>Tabelle1!$B$2:$B$5</c:f>
              <c:numCache>
                <c:formatCode>General</c:formatCode>
                <c:ptCount val="4"/>
                <c:pt idx="0">
                  <c:v>57</c:v>
                </c:pt>
                <c:pt idx="1">
                  <c:v>16</c:v>
                </c:pt>
                <c:pt idx="2">
                  <c:v>28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4354-85D7-4241-8FDD-1B65EE6D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3309</Words>
  <Characters>20848</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Uedl Kathrin</dc:creator>
  <cp:lastModifiedBy>Uedl Kathrin</cp:lastModifiedBy>
  <cp:revision>8</cp:revision>
  <cp:lastPrinted>2013-04-25T08:31:00Z</cp:lastPrinted>
  <dcterms:created xsi:type="dcterms:W3CDTF">2013-11-29T11:38:00Z</dcterms:created>
  <dcterms:modified xsi:type="dcterms:W3CDTF">2013-11-29T13:21:00Z</dcterms:modified>
</cp:coreProperties>
</file>